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6FEA" w14:textId="42CFB792" w:rsidR="0089768A" w:rsidRPr="005E762C" w:rsidRDefault="00420B21" w:rsidP="0089768A">
      <w:pPr>
        <w:pStyle w:val="CoverTitle"/>
      </w:pPr>
      <w:r>
        <w:fldChar w:fldCharType="begin">
          <w:ffData>
            <w:name w:val="Text1"/>
            <w:enabled/>
            <w:calcOnExit w:val="0"/>
            <w:textInput>
              <w:default w:val="Gifts, Benefits and Hospitality Policy"/>
            </w:textInput>
          </w:ffData>
        </w:fldChar>
      </w:r>
      <w:bookmarkStart w:id="0" w:name="Text1"/>
      <w:r>
        <w:instrText xml:space="preserve"> FORMTEXT </w:instrText>
      </w:r>
      <w:r>
        <w:fldChar w:fldCharType="separate"/>
      </w:r>
      <w:r>
        <w:rPr>
          <w:noProof/>
        </w:rPr>
        <w:t>Gifts, Benefits and Hospitality Policy</w:t>
      </w:r>
      <w:r>
        <w:fldChar w:fldCharType="end"/>
      </w:r>
      <w:bookmarkEnd w:id="0"/>
    </w:p>
    <w:tbl>
      <w:tblPr>
        <w:tblStyle w:val="SROTABLE"/>
        <w:tblpPr w:leftFromText="181" w:rightFromText="181" w:vertAnchor="text" w:tblpY="1"/>
        <w:tblOverlap w:val="never"/>
        <w:tblW w:w="9736" w:type="dxa"/>
        <w:tblInd w:w="0" w:type="dxa"/>
        <w:tblLayout w:type="fixed"/>
        <w:tblCellMar>
          <w:top w:w="34" w:type="dxa"/>
        </w:tblCellMar>
        <w:tblLook w:val="00A0" w:firstRow="1" w:lastRow="0" w:firstColumn="1" w:lastColumn="0" w:noHBand="0" w:noVBand="0"/>
      </w:tblPr>
      <w:tblGrid>
        <w:gridCol w:w="2070"/>
        <w:gridCol w:w="8"/>
        <w:gridCol w:w="2790"/>
        <w:gridCol w:w="2588"/>
        <w:gridCol w:w="2280"/>
      </w:tblGrid>
      <w:tr w:rsidR="00C32DF2" w:rsidRPr="005E762C" w14:paraId="04A568F4" w14:textId="77777777" w:rsidTr="008860B2">
        <w:trPr>
          <w:cnfStyle w:val="100000000000" w:firstRow="1" w:lastRow="0" w:firstColumn="0" w:lastColumn="0" w:oddVBand="0" w:evenVBand="0" w:oddHBand="0" w:evenHBand="0" w:firstRowFirstColumn="0" w:firstRowLastColumn="0" w:lastRowFirstColumn="0" w:lastRowLastColumn="0"/>
          <w:tblHeader/>
        </w:trPr>
        <w:tc>
          <w:tcPr>
            <w:tcW w:w="5000" w:type="pct"/>
            <w:gridSpan w:val="5"/>
          </w:tcPr>
          <w:p w14:paraId="68A45D8A" w14:textId="77777777" w:rsidR="006A6715" w:rsidRPr="004A1BF4" w:rsidRDefault="006A6715" w:rsidP="008860B2">
            <w:pPr>
              <w:pStyle w:val="ColumnHeading"/>
              <w:rPr>
                <w:lang w:val="en-AU"/>
              </w:rPr>
            </w:pPr>
            <w:r w:rsidRPr="005E762C">
              <w:t>information</w:t>
            </w:r>
          </w:p>
        </w:tc>
      </w:tr>
      <w:tr w:rsidR="00C32DF2" w:rsidRPr="005E762C" w14:paraId="1D49995A" w14:textId="77777777" w:rsidTr="008860B2">
        <w:tc>
          <w:tcPr>
            <w:tcW w:w="1067" w:type="pct"/>
            <w:gridSpan w:val="2"/>
          </w:tcPr>
          <w:p w14:paraId="58B808BE" w14:textId="77777777" w:rsidR="006A6715" w:rsidRPr="004A1BF4" w:rsidRDefault="006A6715" w:rsidP="008860B2">
            <w:pPr>
              <w:pStyle w:val="RowHeading"/>
              <w:rPr>
                <w:lang w:val="en-AU"/>
              </w:rPr>
            </w:pPr>
            <w:r w:rsidRPr="005E762C">
              <w:t>Division:</w:t>
            </w:r>
          </w:p>
        </w:tc>
        <w:tc>
          <w:tcPr>
            <w:tcW w:w="3933" w:type="pct"/>
            <w:gridSpan w:val="3"/>
          </w:tcPr>
          <w:p w14:paraId="27345264" w14:textId="77777777" w:rsidR="006A6715" w:rsidRPr="004A1BF4" w:rsidRDefault="00194C16" w:rsidP="00116528">
            <w:pPr>
              <w:pStyle w:val="TableText"/>
              <w:rPr>
                <w:lang w:val="en-AU"/>
              </w:rPr>
            </w:pPr>
            <w:r w:rsidRPr="004A1BF4">
              <w:fldChar w:fldCharType="begin">
                <w:ffData>
                  <w:name w:val="Text2"/>
                  <w:enabled/>
                  <w:calcOnExit w:val="0"/>
                  <w:textInput>
                    <w:default w:val="Enter name of division -- then TAB THROUGH to next fillable field"/>
                  </w:textInput>
                </w:ffData>
              </w:fldChar>
            </w:r>
            <w:bookmarkStart w:id="1" w:name="Text2"/>
            <w:r w:rsidRPr="005E762C">
              <w:instrText xml:space="preserve"> FORMTEXT </w:instrText>
            </w:r>
            <w:r w:rsidRPr="004A1BF4">
              <w:fldChar w:fldCharType="separate"/>
            </w:r>
            <w:r w:rsidR="00116528" w:rsidRPr="005E762C">
              <w:rPr>
                <w:noProof/>
              </w:rPr>
              <w:t>People &amp; Culture</w:t>
            </w:r>
            <w:r w:rsidRPr="004A1BF4">
              <w:fldChar w:fldCharType="end"/>
            </w:r>
            <w:bookmarkEnd w:id="1"/>
          </w:p>
        </w:tc>
      </w:tr>
      <w:tr w:rsidR="00C32DF2" w:rsidRPr="005E762C" w14:paraId="490F71FD" w14:textId="77777777" w:rsidTr="008860B2">
        <w:trPr>
          <w:cnfStyle w:val="000000010000" w:firstRow="0" w:lastRow="0" w:firstColumn="0" w:lastColumn="0" w:oddVBand="0" w:evenVBand="0" w:oddHBand="0" w:evenHBand="1" w:firstRowFirstColumn="0" w:firstRowLastColumn="0" w:lastRowFirstColumn="0" w:lastRowLastColumn="0"/>
        </w:trPr>
        <w:tc>
          <w:tcPr>
            <w:tcW w:w="1067" w:type="pct"/>
            <w:gridSpan w:val="2"/>
          </w:tcPr>
          <w:p w14:paraId="2B8CCF10" w14:textId="77777777" w:rsidR="006A6715" w:rsidRPr="004A1BF4" w:rsidRDefault="006A6715" w:rsidP="008860B2">
            <w:pPr>
              <w:pStyle w:val="RowHeading"/>
              <w:rPr>
                <w:lang w:val="en-AU"/>
              </w:rPr>
            </w:pPr>
            <w:r w:rsidRPr="005E762C">
              <w:t>Branch:</w:t>
            </w:r>
          </w:p>
        </w:tc>
        <w:tc>
          <w:tcPr>
            <w:tcW w:w="3933" w:type="pct"/>
            <w:gridSpan w:val="3"/>
          </w:tcPr>
          <w:p w14:paraId="53F06996" w14:textId="77777777" w:rsidR="006A6715" w:rsidRPr="004A1BF4" w:rsidRDefault="00D31C54" w:rsidP="00116528">
            <w:pPr>
              <w:pStyle w:val="TableText"/>
              <w:rPr>
                <w:lang w:val="en-AU"/>
              </w:rPr>
            </w:pPr>
            <w:r w:rsidRPr="004A1BF4">
              <w:fldChar w:fldCharType="begin">
                <w:ffData>
                  <w:name w:val="Text3"/>
                  <w:enabled/>
                  <w:calcOnExit w:val="0"/>
                  <w:textInput>
                    <w:default w:val="Enter name of branch"/>
                  </w:textInput>
                </w:ffData>
              </w:fldChar>
            </w:r>
            <w:bookmarkStart w:id="2" w:name="Text3"/>
            <w:r w:rsidRPr="005E762C">
              <w:instrText xml:space="preserve"> FORMTEXT </w:instrText>
            </w:r>
            <w:r w:rsidRPr="004A1BF4">
              <w:fldChar w:fldCharType="separate"/>
            </w:r>
            <w:r w:rsidR="00116528" w:rsidRPr="005E762C">
              <w:rPr>
                <w:noProof/>
              </w:rPr>
              <w:t>Human Resources</w:t>
            </w:r>
            <w:r w:rsidRPr="004A1BF4">
              <w:fldChar w:fldCharType="end"/>
            </w:r>
            <w:bookmarkEnd w:id="2"/>
          </w:p>
        </w:tc>
      </w:tr>
      <w:tr w:rsidR="008A5274" w:rsidRPr="005E762C" w14:paraId="21B081C2" w14:textId="77777777" w:rsidTr="008A5274">
        <w:tc>
          <w:tcPr>
            <w:tcW w:w="1063" w:type="pct"/>
            <w:tcBorders>
              <w:bottom w:val="nil"/>
            </w:tcBorders>
          </w:tcPr>
          <w:p w14:paraId="7094D039" w14:textId="77777777" w:rsidR="008A5274" w:rsidRPr="004A1BF4" w:rsidRDefault="00F5418B" w:rsidP="008A5274">
            <w:pPr>
              <w:pStyle w:val="RowHeading"/>
              <w:rPr>
                <w:lang w:val="en-AU"/>
              </w:rPr>
            </w:pPr>
            <w:r w:rsidRPr="005E762C">
              <w:t>Original c</w:t>
            </w:r>
            <w:r w:rsidR="00194C16" w:rsidRPr="005E762C">
              <w:t>reation date</w:t>
            </w:r>
          </w:p>
        </w:tc>
        <w:tc>
          <w:tcPr>
            <w:tcW w:w="1437" w:type="pct"/>
            <w:gridSpan w:val="2"/>
            <w:tcBorders>
              <w:bottom w:val="nil"/>
            </w:tcBorders>
          </w:tcPr>
          <w:p w14:paraId="18050854" w14:textId="77777777" w:rsidR="008A5274" w:rsidRPr="004A1BF4" w:rsidRDefault="00D31C54" w:rsidP="008A5274">
            <w:pPr>
              <w:pStyle w:val="TableText"/>
              <w:rPr>
                <w:lang w:val="en-AU"/>
              </w:rPr>
            </w:pPr>
            <w:r w:rsidRPr="004A1BF4">
              <w:fldChar w:fldCharType="begin">
                <w:ffData>
                  <w:name w:val="Text10"/>
                  <w:enabled/>
                  <w:calcOnExit w:val="0"/>
                  <w:textInput>
                    <w:type w:val="date"/>
                    <w:default w:val="1 July 2018"/>
                    <w:format w:val="d MMMM yyyy"/>
                  </w:textInput>
                </w:ffData>
              </w:fldChar>
            </w:r>
            <w:bookmarkStart w:id="3" w:name="Text10"/>
            <w:r w:rsidRPr="005E762C">
              <w:instrText xml:space="preserve"> FORMTEXT </w:instrText>
            </w:r>
            <w:r w:rsidRPr="004A1BF4">
              <w:fldChar w:fldCharType="separate"/>
            </w:r>
            <w:r w:rsidRPr="005E762C">
              <w:rPr>
                <w:noProof/>
              </w:rPr>
              <w:t>1 July 2018</w:t>
            </w:r>
            <w:r w:rsidRPr="004A1BF4">
              <w:fldChar w:fldCharType="end"/>
            </w:r>
            <w:bookmarkEnd w:id="3"/>
          </w:p>
        </w:tc>
        <w:tc>
          <w:tcPr>
            <w:tcW w:w="1329" w:type="pct"/>
            <w:tcBorders>
              <w:bottom w:val="nil"/>
            </w:tcBorders>
          </w:tcPr>
          <w:p w14:paraId="141D4E78" w14:textId="77777777" w:rsidR="008A5274" w:rsidRPr="004A1BF4" w:rsidRDefault="00F5418B" w:rsidP="008A5274">
            <w:pPr>
              <w:pStyle w:val="RowHeading"/>
              <w:rPr>
                <w:lang w:val="en-AU"/>
              </w:rPr>
            </w:pPr>
            <w:r w:rsidRPr="005E762C">
              <w:t>Latest revision</w:t>
            </w:r>
            <w:r w:rsidR="00194C16" w:rsidRPr="005E762C">
              <w:t xml:space="preserve"> date</w:t>
            </w:r>
          </w:p>
        </w:tc>
        <w:tc>
          <w:tcPr>
            <w:tcW w:w="1171" w:type="pct"/>
            <w:tcBorders>
              <w:bottom w:val="nil"/>
            </w:tcBorders>
          </w:tcPr>
          <w:p w14:paraId="4357FDCD" w14:textId="4B49CB10" w:rsidR="008A5274" w:rsidRPr="004A1BF4" w:rsidRDefault="00E1373D" w:rsidP="00116528">
            <w:pPr>
              <w:pStyle w:val="TableText"/>
              <w:rPr>
                <w:lang w:val="en-AU"/>
              </w:rPr>
            </w:pPr>
            <w:r>
              <w:t>3 June 2025</w:t>
            </w:r>
          </w:p>
        </w:tc>
      </w:tr>
      <w:tr w:rsidR="00C32DF2" w:rsidRPr="005E762C" w14:paraId="30C70149" w14:textId="77777777" w:rsidTr="008860B2">
        <w:trPr>
          <w:cnfStyle w:val="000000010000" w:firstRow="0" w:lastRow="0" w:firstColumn="0" w:lastColumn="0" w:oddVBand="0" w:evenVBand="0" w:oddHBand="0" w:evenHBand="1" w:firstRowFirstColumn="0" w:firstRowLastColumn="0" w:lastRowFirstColumn="0" w:lastRowLastColumn="0"/>
        </w:trPr>
        <w:tc>
          <w:tcPr>
            <w:tcW w:w="5000" w:type="pct"/>
            <w:gridSpan w:val="5"/>
            <w:tcBorders>
              <w:bottom w:val="single" w:sz="12" w:space="0" w:color="000000"/>
            </w:tcBorders>
          </w:tcPr>
          <w:p w14:paraId="0B6EB29E" w14:textId="77777777" w:rsidR="006A6715" w:rsidRPr="004A1BF4" w:rsidRDefault="006A6715" w:rsidP="008860B2">
            <w:pPr>
              <w:pStyle w:val="TableText"/>
              <w:rPr>
                <w:b/>
                <w:sz w:val="17"/>
                <w:szCs w:val="17"/>
                <w:lang w:val="en-AU"/>
              </w:rPr>
            </w:pPr>
            <w:r w:rsidRPr="005E762C">
              <w:rPr>
                <w:b/>
                <w:sz w:val="17"/>
                <w:szCs w:val="17"/>
                <w:lang w:val="en-AU"/>
              </w:rPr>
              <w:t>RELIANCE SHOULD NOT BE PLACED ON THIS PRINTED COPY WITHOUT CHECKING THE ELECTRONIC VERSION FOR CURRENCY</w:t>
            </w:r>
          </w:p>
        </w:tc>
      </w:tr>
    </w:tbl>
    <w:p w14:paraId="5D891599" w14:textId="77777777" w:rsidR="0089768A" w:rsidRPr="005E762C" w:rsidRDefault="0089768A" w:rsidP="00157347">
      <w:pPr>
        <w:pStyle w:val="Heading1notnumbered"/>
      </w:pPr>
      <w:r w:rsidRPr="005E762C">
        <w:t>Purpose</w:t>
      </w:r>
    </w:p>
    <w:tbl>
      <w:tblPr>
        <w:tblStyle w:val="SROTABLE"/>
        <w:tblpPr w:leftFromText="181" w:rightFromText="181" w:bottomFromText="284" w:vertAnchor="text" w:tblpY="1"/>
        <w:tblOverlap w:val="never"/>
        <w:tblW w:w="9736" w:type="dxa"/>
        <w:tblInd w:w="0" w:type="dxa"/>
        <w:tblLayout w:type="fixed"/>
        <w:tblCellMar>
          <w:top w:w="34" w:type="dxa"/>
        </w:tblCellMar>
        <w:tblLook w:val="02A0" w:firstRow="1" w:lastRow="0" w:firstColumn="1" w:lastColumn="0" w:noHBand="1" w:noVBand="0"/>
      </w:tblPr>
      <w:tblGrid>
        <w:gridCol w:w="397"/>
        <w:gridCol w:w="9339"/>
      </w:tblGrid>
      <w:tr w:rsidR="0089768A" w:rsidRPr="005E762C" w14:paraId="1B075806" w14:textId="77777777" w:rsidTr="008860B2">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nil"/>
            </w:tcBorders>
            <w:shd w:val="clear" w:color="auto" w:fill="004C97"/>
          </w:tcPr>
          <w:p w14:paraId="6F0E84BE" w14:textId="77777777" w:rsidR="0089768A" w:rsidRPr="004A1BF4" w:rsidRDefault="0089768A" w:rsidP="008860B2">
            <w:pPr>
              <w:pStyle w:val="ColumnHeading"/>
              <w:rPr>
                <w:color w:val="FFFFFF" w:themeColor="background1"/>
                <w:lang w:val="en-AU"/>
              </w:rPr>
            </w:pPr>
            <w:r w:rsidRPr="005E762C">
              <w:rPr>
                <w:color w:val="FFFFFF" w:themeColor="background1"/>
              </w:rPr>
              <w:t xml:space="preserve">five key pieces of information </w:t>
            </w:r>
            <w:r w:rsidR="00BF4E8D" w:rsidRPr="005E762C">
              <w:rPr>
                <w:color w:val="FFFFFF" w:themeColor="background1"/>
              </w:rPr>
              <w:t>TO</w:t>
            </w:r>
            <w:r w:rsidRPr="005E762C">
              <w:rPr>
                <w:color w:val="FFFFFF" w:themeColor="background1"/>
              </w:rPr>
              <w:t xml:space="preserve"> know about this document</w:t>
            </w:r>
          </w:p>
        </w:tc>
      </w:tr>
      <w:tr w:rsidR="00091A06" w:rsidRPr="005E762C" w14:paraId="4419045A" w14:textId="77777777" w:rsidTr="008860B2">
        <w:tc>
          <w:tcPr>
            <w:tcW w:w="204" w:type="pct"/>
            <w:tcBorders>
              <w:top w:val="nil"/>
              <w:bottom w:val="single" w:sz="4" w:space="0" w:color="004C97" w:themeColor="accent1"/>
            </w:tcBorders>
          </w:tcPr>
          <w:p w14:paraId="03C8A058" w14:textId="77777777" w:rsidR="0089768A" w:rsidRPr="004A1BF4" w:rsidRDefault="0089768A" w:rsidP="008860B2">
            <w:pPr>
              <w:pStyle w:val="RowHeading"/>
              <w:rPr>
                <w:color w:val="004C97" w:themeColor="accent1"/>
                <w:lang w:val="en-AU"/>
              </w:rPr>
            </w:pPr>
            <w:r w:rsidRPr="005E762C">
              <w:rPr>
                <w:color w:val="004C97" w:themeColor="accent1"/>
              </w:rPr>
              <w:t>1.</w:t>
            </w:r>
          </w:p>
        </w:tc>
        <w:tc>
          <w:tcPr>
            <w:tcW w:w="4796" w:type="pct"/>
            <w:tcBorders>
              <w:top w:val="nil"/>
              <w:bottom w:val="single" w:sz="4" w:space="0" w:color="004C97" w:themeColor="accent1"/>
            </w:tcBorders>
          </w:tcPr>
          <w:p w14:paraId="42BC125B" w14:textId="77777777" w:rsidR="0089768A" w:rsidRPr="004A1BF4" w:rsidRDefault="0089768A" w:rsidP="00116528">
            <w:pPr>
              <w:pStyle w:val="TableText"/>
              <w:tabs>
                <w:tab w:val="left" w:pos="3083"/>
              </w:tabs>
              <w:rPr>
                <w:color w:val="004C97" w:themeColor="accent1"/>
                <w:lang w:val="en-AU"/>
              </w:rPr>
            </w:pPr>
            <w:r w:rsidRPr="004A1BF4">
              <w:rPr>
                <w:color w:val="004C97" w:themeColor="accent1"/>
              </w:rPr>
              <w:fldChar w:fldCharType="begin">
                <w:ffData>
                  <w:name w:val="Text5"/>
                  <w:enabled/>
                  <w:calcOnExit w:val="0"/>
                  <w:textInput>
                    <w:default w:val="First important highlight"/>
                  </w:textInput>
                </w:ffData>
              </w:fldChar>
            </w:r>
            <w:bookmarkStart w:id="4" w:name="Text5"/>
            <w:r w:rsidRPr="005E762C">
              <w:rPr>
                <w:color w:val="004C97" w:themeColor="accent1"/>
              </w:rPr>
              <w:instrText xml:space="preserve"> FORMTEXT </w:instrText>
            </w:r>
            <w:r w:rsidRPr="004A1BF4">
              <w:rPr>
                <w:color w:val="004C97" w:themeColor="accent1"/>
              </w:rPr>
            </w:r>
            <w:r w:rsidRPr="004A1BF4">
              <w:rPr>
                <w:color w:val="004C97" w:themeColor="accent1"/>
              </w:rPr>
              <w:fldChar w:fldCharType="separate"/>
            </w:r>
            <w:r w:rsidR="00116528" w:rsidRPr="005E762C">
              <w:rPr>
                <w:noProof/>
                <w:color w:val="004C97" w:themeColor="accent1"/>
              </w:rPr>
              <w:t xml:space="preserve">This policy recognises the high degree of importance that the SRO places on the active management of gifts, benefits and hospitality. </w:t>
            </w:r>
            <w:r w:rsidRPr="004A1BF4">
              <w:rPr>
                <w:color w:val="004C97" w:themeColor="accent1"/>
              </w:rPr>
              <w:fldChar w:fldCharType="end"/>
            </w:r>
            <w:bookmarkEnd w:id="4"/>
          </w:p>
        </w:tc>
      </w:tr>
      <w:tr w:rsidR="00091A06" w:rsidRPr="005E762C" w14:paraId="3F7D6733" w14:textId="77777777" w:rsidTr="008860B2">
        <w:tc>
          <w:tcPr>
            <w:tcW w:w="204" w:type="pct"/>
            <w:tcBorders>
              <w:top w:val="single" w:sz="4" w:space="0" w:color="004C97" w:themeColor="accent1"/>
              <w:bottom w:val="single" w:sz="4" w:space="0" w:color="004C97" w:themeColor="accent1"/>
            </w:tcBorders>
          </w:tcPr>
          <w:p w14:paraId="0EC8BBA0" w14:textId="77777777" w:rsidR="0089768A" w:rsidRPr="004A1BF4" w:rsidRDefault="0089768A" w:rsidP="008860B2">
            <w:pPr>
              <w:pStyle w:val="RowHeading"/>
              <w:rPr>
                <w:color w:val="004C97" w:themeColor="accent1"/>
                <w:lang w:val="en-AU"/>
              </w:rPr>
            </w:pPr>
            <w:r w:rsidRPr="005E762C">
              <w:rPr>
                <w:color w:val="004C97" w:themeColor="accent1"/>
              </w:rPr>
              <w:t>2.</w:t>
            </w:r>
          </w:p>
        </w:tc>
        <w:tc>
          <w:tcPr>
            <w:tcW w:w="4796" w:type="pct"/>
            <w:tcBorders>
              <w:top w:val="single" w:sz="4" w:space="0" w:color="004C97" w:themeColor="accent1"/>
              <w:bottom w:val="single" w:sz="4" w:space="0" w:color="004C97" w:themeColor="accent1"/>
            </w:tcBorders>
          </w:tcPr>
          <w:p w14:paraId="45D2B52D" w14:textId="77777777" w:rsidR="0089768A" w:rsidRPr="004A1BF4" w:rsidRDefault="0089768A" w:rsidP="00116528">
            <w:pPr>
              <w:pStyle w:val="TableText"/>
              <w:rPr>
                <w:color w:val="004C97" w:themeColor="accent1"/>
                <w:lang w:val="en-AU"/>
              </w:rPr>
            </w:pPr>
            <w:r w:rsidRPr="004A1BF4">
              <w:rPr>
                <w:color w:val="004C97" w:themeColor="accent1"/>
              </w:rPr>
              <w:fldChar w:fldCharType="begin">
                <w:ffData>
                  <w:name w:val="Text6"/>
                  <w:enabled/>
                  <w:calcOnExit w:val="0"/>
                  <w:textInput>
                    <w:default w:val="Second important highlight"/>
                  </w:textInput>
                </w:ffData>
              </w:fldChar>
            </w:r>
            <w:bookmarkStart w:id="5" w:name="Text6"/>
            <w:r w:rsidRPr="005E762C">
              <w:rPr>
                <w:color w:val="004C97" w:themeColor="accent1"/>
              </w:rPr>
              <w:instrText xml:space="preserve"> FORMTEXT </w:instrText>
            </w:r>
            <w:r w:rsidRPr="004A1BF4">
              <w:rPr>
                <w:color w:val="004C97" w:themeColor="accent1"/>
              </w:rPr>
            </w:r>
            <w:r w:rsidRPr="004A1BF4">
              <w:rPr>
                <w:color w:val="004C97" w:themeColor="accent1"/>
              </w:rPr>
              <w:fldChar w:fldCharType="separate"/>
            </w:r>
            <w:r w:rsidR="00116528" w:rsidRPr="005E762C">
              <w:rPr>
                <w:noProof/>
                <w:color w:val="004C97" w:themeColor="accent1"/>
              </w:rPr>
              <w:t xml:space="preserve">This policy includes the requirement that employees identify and declare any offer or acceptance of any </w:t>
            </w:r>
            <w:r w:rsidR="00750AC2" w:rsidRPr="005E762C">
              <w:rPr>
                <w:noProof/>
                <w:color w:val="004C97" w:themeColor="accent1"/>
              </w:rPr>
              <w:t xml:space="preserve">token </w:t>
            </w:r>
            <w:r w:rsidR="00116528" w:rsidRPr="005E762C">
              <w:rPr>
                <w:noProof/>
                <w:color w:val="004C97" w:themeColor="accent1"/>
              </w:rPr>
              <w:t xml:space="preserve">gift, benefit or the provision of hospitality and avoid or actively manage potential or actual conflicts of interest wherever possible. </w:t>
            </w:r>
            <w:r w:rsidRPr="004A1BF4">
              <w:rPr>
                <w:color w:val="004C97" w:themeColor="accent1"/>
              </w:rPr>
              <w:fldChar w:fldCharType="end"/>
            </w:r>
            <w:bookmarkEnd w:id="5"/>
          </w:p>
        </w:tc>
      </w:tr>
      <w:tr w:rsidR="00091A06" w:rsidRPr="005E762C" w14:paraId="6339A5F2" w14:textId="77777777" w:rsidTr="008860B2">
        <w:tc>
          <w:tcPr>
            <w:tcW w:w="204" w:type="pct"/>
            <w:tcBorders>
              <w:top w:val="single" w:sz="4" w:space="0" w:color="004C97" w:themeColor="accent1"/>
              <w:bottom w:val="single" w:sz="4" w:space="0" w:color="004C97" w:themeColor="accent1"/>
            </w:tcBorders>
          </w:tcPr>
          <w:p w14:paraId="48ECDFED" w14:textId="77777777" w:rsidR="0089768A" w:rsidRPr="004A1BF4" w:rsidRDefault="0089768A" w:rsidP="008860B2">
            <w:pPr>
              <w:pStyle w:val="RowHeading"/>
              <w:rPr>
                <w:color w:val="004C97" w:themeColor="accent1"/>
                <w:lang w:val="en-AU"/>
              </w:rPr>
            </w:pPr>
            <w:r w:rsidRPr="005E762C">
              <w:rPr>
                <w:color w:val="004C97" w:themeColor="accent1"/>
              </w:rPr>
              <w:t>3.</w:t>
            </w:r>
          </w:p>
        </w:tc>
        <w:tc>
          <w:tcPr>
            <w:tcW w:w="4796" w:type="pct"/>
            <w:tcBorders>
              <w:top w:val="single" w:sz="4" w:space="0" w:color="004C97" w:themeColor="accent1"/>
              <w:bottom w:val="single" w:sz="4" w:space="0" w:color="004C97" w:themeColor="accent1"/>
            </w:tcBorders>
          </w:tcPr>
          <w:p w14:paraId="42575D1E" w14:textId="77777777" w:rsidR="00116528" w:rsidRPr="004A1BF4" w:rsidRDefault="0089768A" w:rsidP="00F8564E">
            <w:pPr>
              <w:pStyle w:val="TableBullet"/>
              <w:numPr>
                <w:ilvl w:val="0"/>
                <w:numId w:val="0"/>
              </w:numPr>
              <w:ind w:left="170" w:hanging="170"/>
              <w:rPr>
                <w:noProof/>
                <w:color w:val="004C97"/>
                <w:lang w:val="en-AU"/>
              </w:rPr>
            </w:pPr>
            <w:r w:rsidRPr="004A1BF4">
              <w:rPr>
                <w:color w:val="004C97"/>
              </w:rPr>
              <w:fldChar w:fldCharType="begin">
                <w:ffData>
                  <w:name w:val="Text7"/>
                  <w:enabled/>
                  <w:calcOnExit w:val="0"/>
                  <w:textInput>
                    <w:default w:val="Third important highlight"/>
                  </w:textInput>
                </w:ffData>
              </w:fldChar>
            </w:r>
            <w:bookmarkStart w:id="6" w:name="Text7"/>
            <w:r w:rsidRPr="005E762C">
              <w:rPr>
                <w:color w:val="004C97"/>
              </w:rPr>
              <w:instrText xml:space="preserve"> FORMTEXT </w:instrText>
            </w:r>
            <w:r w:rsidRPr="004A1BF4">
              <w:rPr>
                <w:color w:val="004C97"/>
              </w:rPr>
            </w:r>
            <w:r w:rsidRPr="004A1BF4">
              <w:rPr>
                <w:color w:val="004C97"/>
              </w:rPr>
              <w:fldChar w:fldCharType="separate"/>
            </w:r>
            <w:r w:rsidR="00116528" w:rsidRPr="005E762C">
              <w:rPr>
                <w:noProof/>
                <w:color w:val="004C97"/>
              </w:rPr>
              <w:t>The purpose of this policy is to make clear SRO’s position on:</w:t>
            </w:r>
          </w:p>
          <w:p w14:paraId="2C9C0F75" w14:textId="77777777" w:rsidR="00116528" w:rsidRPr="004A1BF4" w:rsidRDefault="00116528" w:rsidP="00F8564E">
            <w:pPr>
              <w:pStyle w:val="TableBullet"/>
              <w:rPr>
                <w:noProof/>
                <w:color w:val="004C97"/>
                <w:lang w:val="en-AU"/>
              </w:rPr>
            </w:pPr>
            <w:r w:rsidRPr="005E762C">
              <w:rPr>
                <w:noProof/>
                <w:color w:val="004C97"/>
              </w:rPr>
              <w:t>Responding to offers of gifts, benefits and hospitality; and</w:t>
            </w:r>
          </w:p>
          <w:p w14:paraId="7A09C0E2" w14:textId="77777777" w:rsidR="0089768A" w:rsidRPr="004A1BF4" w:rsidRDefault="00116528" w:rsidP="00F8564E">
            <w:pPr>
              <w:pStyle w:val="TableBullet"/>
              <w:rPr>
                <w:color w:val="004C97"/>
                <w:lang w:val="en-AU"/>
              </w:rPr>
            </w:pPr>
            <w:r w:rsidRPr="005E762C">
              <w:rPr>
                <w:noProof/>
                <w:color w:val="004C97"/>
              </w:rPr>
              <w:t>Providing gifts, benefits and hospitality</w:t>
            </w:r>
            <w:r w:rsidR="0089768A" w:rsidRPr="004A1BF4">
              <w:rPr>
                <w:color w:val="004C97"/>
              </w:rPr>
              <w:fldChar w:fldCharType="end"/>
            </w:r>
            <w:bookmarkEnd w:id="6"/>
          </w:p>
        </w:tc>
      </w:tr>
      <w:tr w:rsidR="00091A06" w:rsidRPr="005E762C" w14:paraId="2AF2A1B3" w14:textId="77777777" w:rsidTr="008860B2">
        <w:tc>
          <w:tcPr>
            <w:tcW w:w="204" w:type="pct"/>
            <w:tcBorders>
              <w:top w:val="single" w:sz="4" w:space="0" w:color="004C97" w:themeColor="accent1"/>
              <w:bottom w:val="single" w:sz="4" w:space="0" w:color="004C97" w:themeColor="accent1"/>
            </w:tcBorders>
          </w:tcPr>
          <w:p w14:paraId="35A01AE4" w14:textId="77777777" w:rsidR="0089768A" w:rsidRPr="004A1BF4" w:rsidRDefault="0089768A" w:rsidP="008860B2">
            <w:pPr>
              <w:pStyle w:val="RowHeading"/>
              <w:rPr>
                <w:color w:val="004C97" w:themeColor="accent1"/>
                <w:lang w:val="en-AU"/>
              </w:rPr>
            </w:pPr>
            <w:r w:rsidRPr="005E762C">
              <w:rPr>
                <w:color w:val="004C97" w:themeColor="accent1"/>
              </w:rPr>
              <w:t>4.</w:t>
            </w:r>
          </w:p>
        </w:tc>
        <w:tc>
          <w:tcPr>
            <w:tcW w:w="4796" w:type="pct"/>
            <w:tcBorders>
              <w:top w:val="single" w:sz="4" w:space="0" w:color="004C97" w:themeColor="accent1"/>
              <w:bottom w:val="single" w:sz="4" w:space="0" w:color="004C97" w:themeColor="accent1"/>
            </w:tcBorders>
          </w:tcPr>
          <w:p w14:paraId="5A347ED5" w14:textId="77777777" w:rsidR="0089768A" w:rsidRPr="004A1BF4" w:rsidRDefault="00F8564E" w:rsidP="00750AC2">
            <w:pPr>
              <w:pStyle w:val="TableText"/>
              <w:rPr>
                <w:color w:val="004C97"/>
                <w:lang w:val="en-AU"/>
              </w:rPr>
            </w:pPr>
            <w:r w:rsidRPr="005E762C">
              <w:rPr>
                <w:color w:val="004C97"/>
              </w:rPr>
              <w:t>This policy applies to all SRO</w:t>
            </w:r>
            <w:r w:rsidR="00750AC2" w:rsidRPr="005E762C">
              <w:rPr>
                <w:color w:val="004C97"/>
              </w:rPr>
              <w:t xml:space="preserve"> workers</w:t>
            </w:r>
            <w:r w:rsidRPr="005E762C">
              <w:rPr>
                <w:color w:val="004C97"/>
              </w:rPr>
              <w:t>. For the purpose of this policy, this includes executives, employees, contractors, consultants and any individuals or groups undertaking activity for or on behalf of the SRO.</w:t>
            </w:r>
          </w:p>
        </w:tc>
      </w:tr>
      <w:tr w:rsidR="00091A06" w:rsidRPr="005E762C" w14:paraId="6643B086" w14:textId="77777777" w:rsidTr="008860B2">
        <w:tc>
          <w:tcPr>
            <w:tcW w:w="204" w:type="pct"/>
            <w:tcBorders>
              <w:top w:val="single" w:sz="4" w:space="0" w:color="004C97" w:themeColor="accent1"/>
              <w:bottom w:val="single" w:sz="4" w:space="0" w:color="004C97" w:themeColor="accent1"/>
            </w:tcBorders>
          </w:tcPr>
          <w:p w14:paraId="39320E38" w14:textId="77777777" w:rsidR="0089768A" w:rsidRPr="004A1BF4" w:rsidRDefault="0089768A" w:rsidP="008860B2">
            <w:pPr>
              <w:pStyle w:val="RowHeading"/>
              <w:rPr>
                <w:color w:val="004C97" w:themeColor="accent1"/>
                <w:lang w:val="en-AU"/>
              </w:rPr>
            </w:pPr>
            <w:r w:rsidRPr="005E762C">
              <w:rPr>
                <w:color w:val="004C97" w:themeColor="accent1"/>
              </w:rPr>
              <w:t>5.</w:t>
            </w:r>
          </w:p>
        </w:tc>
        <w:tc>
          <w:tcPr>
            <w:tcW w:w="4796" w:type="pct"/>
            <w:tcBorders>
              <w:top w:val="single" w:sz="4" w:space="0" w:color="004C97" w:themeColor="accent1"/>
              <w:bottom w:val="single" w:sz="4" w:space="0" w:color="004C97" w:themeColor="accent1"/>
            </w:tcBorders>
          </w:tcPr>
          <w:p w14:paraId="50584B0A" w14:textId="77777777" w:rsidR="0089768A" w:rsidRPr="004A1BF4" w:rsidRDefault="00F8564E" w:rsidP="008860B2">
            <w:pPr>
              <w:pStyle w:val="TableText"/>
              <w:rPr>
                <w:color w:val="004C97" w:themeColor="accent1"/>
                <w:lang w:val="en-AU"/>
              </w:rPr>
            </w:pPr>
            <w:r w:rsidRPr="005E762C">
              <w:rPr>
                <w:color w:val="004C97" w:themeColor="accent1"/>
              </w:rPr>
              <w:t>This policy has been developed in accordance with requirements outlined in the Minimum accountabilities for managing gifts, benefits and hospitality issued by the Victorian Public Sector Commission (See Schedule A).</w:t>
            </w:r>
          </w:p>
        </w:tc>
      </w:tr>
      <w:tr w:rsidR="0089768A" w:rsidRPr="005E762C" w14:paraId="6E0A5FC7" w14:textId="77777777" w:rsidTr="008860B2">
        <w:tc>
          <w:tcPr>
            <w:tcW w:w="5000" w:type="pct"/>
            <w:gridSpan w:val="2"/>
            <w:tcBorders>
              <w:top w:val="single" w:sz="4" w:space="0" w:color="004C97" w:themeColor="accent1"/>
              <w:bottom w:val="single" w:sz="12" w:space="0" w:color="000000"/>
            </w:tcBorders>
          </w:tcPr>
          <w:p w14:paraId="4DD7E21D" w14:textId="77777777" w:rsidR="0089768A" w:rsidRPr="004A1BF4" w:rsidRDefault="0089768A" w:rsidP="008860B2">
            <w:pPr>
              <w:pStyle w:val="TableText"/>
              <w:rPr>
                <w:b/>
                <w:color w:val="004C97" w:themeColor="accent1"/>
                <w:sz w:val="17"/>
                <w:szCs w:val="17"/>
                <w:lang w:val="en-AU"/>
              </w:rPr>
            </w:pPr>
            <w:r w:rsidRPr="005E762C">
              <w:rPr>
                <w:b/>
                <w:color w:val="004C97" w:themeColor="accent1"/>
                <w:sz w:val="17"/>
                <w:szCs w:val="17"/>
                <w:lang w:val="en-AU"/>
              </w:rPr>
              <w:t xml:space="preserve">THIS INFORMATION </w:t>
            </w:r>
            <w:r w:rsidR="00BF4E8D" w:rsidRPr="005E762C">
              <w:rPr>
                <w:b/>
                <w:color w:val="004C97" w:themeColor="accent1"/>
                <w:sz w:val="17"/>
                <w:szCs w:val="17"/>
                <w:lang w:val="en-AU"/>
              </w:rPr>
              <w:t>MUST</w:t>
            </w:r>
            <w:r w:rsidRPr="005E762C">
              <w:rPr>
                <w:b/>
                <w:color w:val="004C97" w:themeColor="accent1"/>
                <w:sz w:val="17"/>
                <w:szCs w:val="17"/>
                <w:lang w:val="en-AU"/>
              </w:rPr>
              <w:t xml:space="preserve"> BE INCLUDED WITHIN THE LOTUS NOTES POLICIES AND PROCEDURES DATABASE – PURPOSE</w:t>
            </w:r>
          </w:p>
        </w:tc>
      </w:tr>
    </w:tbl>
    <w:p w14:paraId="1F094F0E" w14:textId="77777777" w:rsidR="0027747E" w:rsidRPr="005E762C" w:rsidRDefault="0027747E" w:rsidP="00157347">
      <w:pPr>
        <w:pStyle w:val="Heading1notnumbered"/>
        <w:sectPr w:rsidR="0027747E" w:rsidRPr="005E762C" w:rsidSect="00331F3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1134" w:bottom="1134" w:left="1134" w:header="510" w:footer="624" w:gutter="0"/>
          <w:pgNumType w:start="1"/>
          <w:cols w:space="284"/>
          <w:titlePg/>
          <w:docGrid w:linePitch="360"/>
        </w:sectPr>
      </w:pPr>
    </w:p>
    <w:p w14:paraId="432A8601" w14:textId="77777777" w:rsidR="0027747E" w:rsidRPr="005E762C" w:rsidRDefault="0027747E">
      <w:pPr>
        <w:spacing w:after="0"/>
        <w:rPr>
          <w:rFonts w:eastAsiaTheme="majorEastAsia" w:cstheme="majorBidi"/>
          <w:b/>
          <w:bCs/>
          <w:color w:val="004C97"/>
          <w:sz w:val="44"/>
          <w:szCs w:val="28"/>
        </w:rPr>
      </w:pPr>
      <w:r w:rsidRPr="005E762C">
        <w:br w:type="page"/>
      </w:r>
    </w:p>
    <w:p w14:paraId="5163BDDD" w14:textId="77777777" w:rsidR="00157347" w:rsidRPr="005E762C" w:rsidRDefault="00157347" w:rsidP="00CE3F47">
      <w:pPr>
        <w:pStyle w:val="Heading1notnumbered"/>
      </w:pPr>
      <w:r w:rsidRPr="005E762C">
        <w:lastRenderedPageBreak/>
        <w:t>Details</w:t>
      </w:r>
      <w:r w:rsidR="008D0507" w:rsidRPr="005E762C">
        <w:tab/>
      </w:r>
    </w:p>
    <w:p w14:paraId="7A779788" w14:textId="77777777" w:rsidR="00F8564E" w:rsidRPr="005E762C" w:rsidRDefault="00F8564E" w:rsidP="00F8564E">
      <w:pPr>
        <w:pStyle w:val="Heading3notnumbered"/>
      </w:pPr>
      <w:r w:rsidRPr="005E762C">
        <w:t>Policy Principles</w:t>
      </w:r>
    </w:p>
    <w:p w14:paraId="58FD2AD9" w14:textId="77777777" w:rsidR="00F8564E" w:rsidRPr="005E762C" w:rsidRDefault="00F8564E" w:rsidP="00F8564E">
      <w:pPr>
        <w:pStyle w:val="BodyText"/>
      </w:pPr>
      <w:r w:rsidRPr="005E762C">
        <w:t>The SRO is committed to and will uphold the following principles in applying this policy:</w:t>
      </w:r>
    </w:p>
    <w:p w14:paraId="0361BD26" w14:textId="77777777" w:rsidR="00F8564E" w:rsidRPr="005E762C" w:rsidRDefault="00F8564E" w:rsidP="00F8564E">
      <w:pPr>
        <w:pStyle w:val="BodyText"/>
      </w:pPr>
      <w:r w:rsidRPr="005E762C">
        <w:rPr>
          <w:rStyle w:val="Bold"/>
        </w:rPr>
        <w:t>Public interest</w:t>
      </w:r>
      <w:r w:rsidRPr="005E762C">
        <w:t>: individuals have a duty to place the public interest above their private interests when carrying out their official functions. They will not accept gifts, benefits or hospitality that could raise a perception of, or actual, bias or preferential treatment. Individuals do not accept offers from those about whom they are likely to make business decisions.</w:t>
      </w:r>
    </w:p>
    <w:p w14:paraId="57A20703" w14:textId="77777777" w:rsidR="00F8564E" w:rsidRPr="005E762C" w:rsidRDefault="00F8564E" w:rsidP="00F8564E">
      <w:pPr>
        <w:pStyle w:val="BodyText"/>
      </w:pPr>
      <w:r w:rsidRPr="005E762C">
        <w:rPr>
          <w:rStyle w:val="Bold"/>
        </w:rPr>
        <w:t>Accountability:</w:t>
      </w:r>
      <w:r w:rsidRPr="005E762C">
        <w:t xml:space="preserve"> individuals are accountable for:</w:t>
      </w:r>
    </w:p>
    <w:p w14:paraId="7DF3DE5F" w14:textId="77777777" w:rsidR="00F8564E" w:rsidRPr="005E762C" w:rsidRDefault="00F8564E" w:rsidP="00F8564E">
      <w:pPr>
        <w:pStyle w:val="ListBullet"/>
      </w:pPr>
      <w:r w:rsidRPr="005E762C">
        <w:t xml:space="preserve">declaring all non-token offers of </w:t>
      </w:r>
      <w:r w:rsidR="009D3D02" w:rsidRPr="005E762C">
        <w:t>gifts, benefits and hospitality</w:t>
      </w:r>
      <w:r w:rsidRPr="005E762C">
        <w:t xml:space="preserve"> </w:t>
      </w:r>
    </w:p>
    <w:p w14:paraId="0FA6CC04" w14:textId="77777777" w:rsidR="00F8564E" w:rsidRPr="005E762C" w:rsidRDefault="00F8564E" w:rsidP="00F8564E">
      <w:pPr>
        <w:pStyle w:val="ListBullet"/>
      </w:pPr>
      <w:r w:rsidRPr="005E762C">
        <w:t>declining non-token offers of gifts, benefits and hospitality, or where an exception applies under this policy, seeking a</w:t>
      </w:r>
      <w:r w:rsidR="009D3D02" w:rsidRPr="005E762C">
        <w:t>pproval to accept the offer</w:t>
      </w:r>
    </w:p>
    <w:p w14:paraId="0CED5F57" w14:textId="77777777" w:rsidR="00F8564E" w:rsidRPr="005E762C" w:rsidRDefault="00F8564E" w:rsidP="00F8564E">
      <w:pPr>
        <w:pStyle w:val="ListBullet"/>
      </w:pPr>
      <w:r w:rsidRPr="005E762C">
        <w:t>The responsible provision of gifts, benefits and hospitality.</w:t>
      </w:r>
    </w:p>
    <w:p w14:paraId="096F54B1" w14:textId="77777777" w:rsidR="00F8564E" w:rsidRPr="005E762C" w:rsidRDefault="00F8564E" w:rsidP="00F8564E">
      <w:pPr>
        <w:pStyle w:val="BodyText"/>
      </w:pPr>
      <w:r w:rsidRPr="005E762C">
        <w:t xml:space="preserve">SRO Workers with direct reports are accountable for overseeing management of their direct reports’ acceptance or refusal of non-token gifts, benefits and hospitality, modelling good practice and promoting awareness of gifts, benefits and hospitality policies and processes.  </w:t>
      </w:r>
    </w:p>
    <w:p w14:paraId="0F10B3BD" w14:textId="77777777" w:rsidR="00F8564E" w:rsidRPr="005E762C" w:rsidRDefault="00F8564E" w:rsidP="00F8564E">
      <w:pPr>
        <w:pStyle w:val="BodyText"/>
      </w:pPr>
      <w:r w:rsidRPr="005E762C">
        <w:rPr>
          <w:rStyle w:val="Bold"/>
        </w:rPr>
        <w:t>Risk-based approach:</w:t>
      </w:r>
      <w:r w:rsidRPr="005E762C">
        <w:t xml:space="preserve"> the SRO, through its policies, processes and Audit Committee, will ensure gifts, benefits and hospitality risks are appropriately assessed and managed. Individuals with direct reports will ensure they are aware of the risks inherent in their team’s work and functions and monitor the risks to which their direct reports are exposed. </w:t>
      </w:r>
    </w:p>
    <w:p w14:paraId="0ECC1E4C" w14:textId="77777777" w:rsidR="00F8564E" w:rsidRPr="005E762C" w:rsidRDefault="00F8564E" w:rsidP="00F8564E">
      <w:pPr>
        <w:pStyle w:val="Heading3notnumbered"/>
      </w:pPr>
      <w:r w:rsidRPr="005E762C">
        <w:t>Minimum accountabilities</w:t>
      </w:r>
    </w:p>
    <w:p w14:paraId="47B30BC5" w14:textId="79822412" w:rsidR="00F8564E" w:rsidRPr="005E762C" w:rsidRDefault="00F8564E" w:rsidP="00F8564E">
      <w:pPr>
        <w:pStyle w:val="BodyText"/>
      </w:pPr>
      <w:r w:rsidRPr="005E762C">
        <w:t>The Victorian Public Sector Commission has set binding minimum accountabilities for the appropriate management of gifts, benefit and hospitality. These can be found at Schedule A</w:t>
      </w:r>
      <w:r w:rsidR="005E762C" w:rsidRPr="005E762C">
        <w:t xml:space="preserve"> below</w:t>
      </w:r>
      <w:r w:rsidRPr="005E762C">
        <w:t xml:space="preserve">. </w:t>
      </w:r>
    </w:p>
    <w:p w14:paraId="3AD76D51" w14:textId="77777777" w:rsidR="00F8564E" w:rsidRPr="005E762C" w:rsidRDefault="00F8564E" w:rsidP="00F8564E">
      <w:pPr>
        <w:pStyle w:val="Heading3notnumbered"/>
      </w:pPr>
      <w:r w:rsidRPr="005E762C">
        <w:t>Management of offers of gifts, benefits and hospitality</w:t>
      </w:r>
    </w:p>
    <w:p w14:paraId="758993B7" w14:textId="77777777" w:rsidR="00F8564E" w:rsidRPr="005E762C" w:rsidRDefault="00F8564E" w:rsidP="00F8564E">
      <w:pPr>
        <w:pStyle w:val="Heading5"/>
      </w:pPr>
      <w:r w:rsidRPr="005E762C">
        <w:t>TOKEN OFFERS</w:t>
      </w:r>
    </w:p>
    <w:p w14:paraId="39F4C4C6" w14:textId="77777777" w:rsidR="00F8564E" w:rsidRPr="005E762C" w:rsidRDefault="00F8564E" w:rsidP="00F8564E">
      <w:pPr>
        <w:pStyle w:val="BodyText"/>
      </w:pPr>
      <w:r w:rsidRPr="005E762C">
        <w:t xml:space="preserve">A token offer is an offer of a gift, benefit or hospitality that is of inconsequential or trivial value to both the person making the offer and the individual.  It may include promotional items such as pens and note pads, and modest hospitality which would be considered a basic courtesy, such as light refreshments offered during a meeting.  </w:t>
      </w:r>
    </w:p>
    <w:p w14:paraId="7E2DABFA" w14:textId="77777777" w:rsidR="00F8564E" w:rsidRPr="005E762C" w:rsidRDefault="00F8564E" w:rsidP="00F8564E">
      <w:pPr>
        <w:pStyle w:val="BodyText"/>
      </w:pPr>
      <w:r w:rsidRPr="004A1BF4">
        <w:t xml:space="preserve">While the primary determinant of a token offer is that it would not be reasonably perceived within or outside the SRO as influencing an individual </w:t>
      </w:r>
      <w:r w:rsidR="002835E2" w:rsidRPr="004A1BF4">
        <w:t xml:space="preserve">or </w:t>
      </w:r>
      <w:r w:rsidRPr="004A1BF4">
        <w:t>raising an actual, potential or perceived conflict of interest, it cannot be worth more than $50.</w:t>
      </w:r>
      <w:r>
        <w:t xml:space="preserve">  If token offers are made often by the same person or organisation, the cumulative value of the offers, or the perception that they may influence the recipient, may result in the offers becoming non-token.  </w:t>
      </w:r>
      <w:r w:rsidR="008852DE">
        <w:t xml:space="preserve">Token cumulative offers need to be managed appropriately.  Token </w:t>
      </w:r>
      <w:r>
        <w:t>offers no longer need to be recorded.</w:t>
      </w:r>
    </w:p>
    <w:p w14:paraId="392BA409" w14:textId="77777777" w:rsidR="00F8564E" w:rsidRPr="005E762C" w:rsidRDefault="00F8564E" w:rsidP="00F8564E">
      <w:pPr>
        <w:pStyle w:val="BodyText"/>
      </w:pPr>
      <w:r w:rsidRPr="005E762C">
        <w:t xml:space="preserve">Within the SRO, all </w:t>
      </w:r>
      <w:r w:rsidR="004D0D8B" w:rsidRPr="005E762C">
        <w:t xml:space="preserve">Token </w:t>
      </w:r>
      <w:r w:rsidRPr="005E762C">
        <w:t>offers of gifts or benefits should be reported to your Manager in writing. If you are to officially represent the SRO or you are invited to a social function i.e. Christmas function, you must get prior approval from your Manager. You must also report the full circumstances if you decide to accept token gifts.</w:t>
      </w:r>
    </w:p>
    <w:p w14:paraId="5A40BDD1" w14:textId="1E9844D0" w:rsidR="00F8564E" w:rsidRPr="005E762C" w:rsidRDefault="004D0D8B" w:rsidP="00F8564E">
      <w:pPr>
        <w:pStyle w:val="BodyText"/>
      </w:pPr>
      <w:r w:rsidRPr="004A1BF4">
        <w:t xml:space="preserve">All </w:t>
      </w:r>
      <w:r w:rsidR="008852DE" w:rsidRPr="004A1BF4">
        <w:t>Non-Token o</w:t>
      </w:r>
      <w:r w:rsidR="00F8564E" w:rsidRPr="004A1BF4">
        <w:t>ffers of gifts, benefits or hospitality which exceed a nominal value of $50,</w:t>
      </w:r>
      <w:r w:rsidR="00F8564E">
        <w:t xml:space="preserve"> whether accepted or not, must be reported on a </w:t>
      </w:r>
      <w:hyperlink r:id="rId17" w:history="1">
        <w:r w:rsidR="00F8564E" w:rsidRPr="56805311">
          <w:rPr>
            <w:rStyle w:val="Hyperlink"/>
          </w:rPr>
          <w:t>Gifts, Benefits and Hospitality Declaration Form</w:t>
        </w:r>
      </w:hyperlink>
      <w:r w:rsidR="00F8564E">
        <w:t xml:space="preserve">. </w:t>
      </w:r>
    </w:p>
    <w:p w14:paraId="00BEDEE2" w14:textId="77777777" w:rsidR="00F8564E" w:rsidRPr="005E762C" w:rsidRDefault="00F8564E" w:rsidP="00F8564E">
      <w:pPr>
        <w:pStyle w:val="BodyText"/>
      </w:pPr>
      <w:r>
        <w:t xml:space="preserve">The form is to be completed and submitted to the relevant manager by the gift recipient, then forwarded to the HR Manager for recording in the SRO Gifts Register. The Gifts Register will be reviewed regularly by the Executive and provided to the Audit Committee on an annual basis. </w:t>
      </w:r>
    </w:p>
    <w:p w14:paraId="3579436B" w14:textId="77777777" w:rsidR="00F8564E" w:rsidRPr="005E762C" w:rsidRDefault="00F8564E" w:rsidP="00F8564E">
      <w:pPr>
        <w:pStyle w:val="BodyText"/>
      </w:pPr>
      <w:r>
        <w:t xml:space="preserve">If you are unsure about how to respond to an offer of a gift, benefit or hospitality seek advice from your manager or the HR </w:t>
      </w:r>
      <w:r w:rsidR="002835E2">
        <w:t>M</w:t>
      </w:r>
      <w:r>
        <w:t>anager.</w:t>
      </w:r>
    </w:p>
    <w:p w14:paraId="081C2602" w14:textId="77777777" w:rsidR="00F8564E" w:rsidRPr="005E762C" w:rsidRDefault="00F8564E" w:rsidP="00F8564E">
      <w:pPr>
        <w:pStyle w:val="BodyText"/>
      </w:pPr>
      <w:r w:rsidRPr="005E762C">
        <w:t xml:space="preserve">SRO Workers are to refuse all offers (excluding token hospitality, such as sandwiches over a lunchtime meeting): </w:t>
      </w:r>
    </w:p>
    <w:p w14:paraId="3AEADA44" w14:textId="77777777" w:rsidR="00F8564E" w:rsidRPr="005E762C" w:rsidRDefault="00F8564E" w:rsidP="00BC3CBC">
      <w:pPr>
        <w:pStyle w:val="ListBullet"/>
        <w:numPr>
          <w:ilvl w:val="0"/>
          <w:numId w:val="23"/>
        </w:numPr>
      </w:pPr>
      <w:r w:rsidRPr="005E762C">
        <w:t>made by a current or prospective supplier</w:t>
      </w:r>
    </w:p>
    <w:p w14:paraId="5EC43DBD" w14:textId="77777777" w:rsidR="00F8564E" w:rsidRPr="005E762C" w:rsidRDefault="00F8564E" w:rsidP="00BC3CBC">
      <w:pPr>
        <w:pStyle w:val="ListBullet"/>
        <w:numPr>
          <w:ilvl w:val="0"/>
          <w:numId w:val="23"/>
        </w:numPr>
      </w:pPr>
      <w:r w:rsidRPr="005E762C">
        <w:t>made during a procurement or tender process by a person or organisation involved in the process.</w:t>
      </w:r>
    </w:p>
    <w:p w14:paraId="2981701A" w14:textId="77777777" w:rsidR="00F8564E" w:rsidRPr="005E762C" w:rsidRDefault="00F8564E" w:rsidP="00F8564E">
      <w:pPr>
        <w:pStyle w:val="Heading5"/>
      </w:pPr>
      <w:r w:rsidRPr="005E762C">
        <w:t>REQUIREMENT FOR REFUSING NON-TOKEN OFFERS</w:t>
      </w:r>
    </w:p>
    <w:p w14:paraId="65B65342" w14:textId="77777777" w:rsidR="00F8564E" w:rsidRPr="005E762C" w:rsidRDefault="00F8564E" w:rsidP="00F8564E">
      <w:pPr>
        <w:pStyle w:val="BodyText"/>
      </w:pPr>
      <w:r w:rsidRPr="005E762C">
        <w:t>Individuals should consider the GIFT test at Table 1 and the requirements below to help respond to a non-token offer.</w:t>
      </w:r>
    </w:p>
    <w:p w14:paraId="1EA50590" w14:textId="77777777" w:rsidR="00F8564E" w:rsidRPr="005E762C" w:rsidRDefault="00F8564E" w:rsidP="00F8564E">
      <w:pPr>
        <w:pStyle w:val="BodyText"/>
      </w:pPr>
      <w:r w:rsidRPr="005E762C">
        <w:t>Individuals are to refuse non-token offers:</w:t>
      </w:r>
    </w:p>
    <w:p w14:paraId="3BD31F15" w14:textId="77777777" w:rsidR="00F8564E" w:rsidRPr="005E762C" w:rsidRDefault="00F8564E" w:rsidP="6DBC7B41">
      <w:pPr>
        <w:pStyle w:val="ListBullet"/>
      </w:pPr>
      <w:r>
        <w:t>likely to influence them, or be perceived to influence them, in the course of their duties or raise an actual, potential or perceived conflict of interest</w:t>
      </w:r>
    </w:p>
    <w:p w14:paraId="2D5C4431" w14:textId="77777777" w:rsidR="00F8564E" w:rsidRPr="005E762C" w:rsidRDefault="00F8564E" w:rsidP="00BC3CBC">
      <w:pPr>
        <w:pStyle w:val="ListBullet"/>
        <w:numPr>
          <w:ilvl w:val="0"/>
          <w:numId w:val="24"/>
        </w:numPr>
      </w:pPr>
      <w:r w:rsidRPr="005E762C">
        <w:t>by a person or organisation about which they will likely make a decision (also applies to processes involving grants, sponsorship, regulation, enforcement or licensing)</w:t>
      </w:r>
    </w:p>
    <w:p w14:paraId="47B0E44A" w14:textId="77777777" w:rsidR="00F8564E" w:rsidRPr="005E762C" w:rsidRDefault="00F8564E" w:rsidP="00BC3CBC">
      <w:pPr>
        <w:pStyle w:val="ListBullet"/>
        <w:numPr>
          <w:ilvl w:val="0"/>
          <w:numId w:val="24"/>
        </w:numPr>
      </w:pPr>
      <w:r w:rsidRPr="005E762C">
        <w:t xml:space="preserve">likely to be a bribe or inducement to make a decision or act in a particular way </w:t>
      </w:r>
    </w:p>
    <w:p w14:paraId="6832D893" w14:textId="77777777" w:rsidR="00F8564E" w:rsidRPr="005E762C" w:rsidRDefault="00F8564E" w:rsidP="00BC3CBC">
      <w:pPr>
        <w:pStyle w:val="ListBullet"/>
        <w:numPr>
          <w:ilvl w:val="0"/>
          <w:numId w:val="24"/>
        </w:numPr>
      </w:pPr>
      <w:r w:rsidRPr="005E762C">
        <w:t>that extend to their relatives or friends</w:t>
      </w:r>
    </w:p>
    <w:p w14:paraId="01AB7C9D" w14:textId="77777777" w:rsidR="00F8564E" w:rsidRPr="005E762C" w:rsidRDefault="00F8564E" w:rsidP="00BC3CBC">
      <w:pPr>
        <w:pStyle w:val="ListBullet"/>
        <w:numPr>
          <w:ilvl w:val="0"/>
          <w:numId w:val="24"/>
        </w:numPr>
      </w:pPr>
      <w:r w:rsidRPr="005E762C">
        <w:t>with no legitimate business benefit</w:t>
      </w:r>
    </w:p>
    <w:p w14:paraId="2AD83428" w14:textId="77777777" w:rsidR="00F8564E" w:rsidRPr="005E762C" w:rsidRDefault="00F8564E" w:rsidP="00BC3CBC">
      <w:pPr>
        <w:pStyle w:val="ListBullet"/>
        <w:numPr>
          <w:ilvl w:val="0"/>
          <w:numId w:val="24"/>
        </w:numPr>
      </w:pPr>
      <w:r w:rsidRPr="005E762C">
        <w:t>of money, or used in a similar way to money, or something easily converted to money</w:t>
      </w:r>
    </w:p>
    <w:p w14:paraId="4355A0F3" w14:textId="77777777" w:rsidR="00F8564E" w:rsidRPr="005E762C" w:rsidRDefault="00F8564E" w:rsidP="00BC3CBC">
      <w:pPr>
        <w:pStyle w:val="ListBullet"/>
        <w:numPr>
          <w:ilvl w:val="0"/>
          <w:numId w:val="24"/>
        </w:numPr>
      </w:pPr>
      <w:r w:rsidRPr="005E762C">
        <w:t>where, in relation to hospitality and events, the organisation will already be sufficiently represented to meet its business needs</w:t>
      </w:r>
    </w:p>
    <w:p w14:paraId="470C6085" w14:textId="77777777" w:rsidR="00F8564E" w:rsidRPr="005E762C" w:rsidRDefault="00F8564E" w:rsidP="00BC3CBC">
      <w:pPr>
        <w:pStyle w:val="ListBullet"/>
        <w:numPr>
          <w:ilvl w:val="0"/>
          <w:numId w:val="24"/>
        </w:numPr>
      </w:pPr>
      <w:r w:rsidRPr="005E762C">
        <w:t>where acceptance could be perceived as endorsement of a product or service, or acceptance would unfairly advantage the sponsor in future procurement decisions</w:t>
      </w:r>
    </w:p>
    <w:p w14:paraId="40DFAAC7" w14:textId="77777777" w:rsidR="00F8564E" w:rsidRPr="005E762C" w:rsidRDefault="00F8564E" w:rsidP="00BC3CBC">
      <w:pPr>
        <w:pStyle w:val="ListBullet"/>
        <w:numPr>
          <w:ilvl w:val="0"/>
          <w:numId w:val="24"/>
        </w:numPr>
      </w:pPr>
      <w:r w:rsidRPr="005E762C">
        <w:t>made by a person or organisation with a primary purpose to lobby Ministers, Members of Parliament or public sector agencies</w:t>
      </w:r>
    </w:p>
    <w:p w14:paraId="5FA773AD" w14:textId="77777777" w:rsidR="00F8564E" w:rsidRPr="005E762C" w:rsidRDefault="00F8564E" w:rsidP="00BC3CBC">
      <w:pPr>
        <w:pStyle w:val="ListBullet"/>
        <w:numPr>
          <w:ilvl w:val="0"/>
          <w:numId w:val="24"/>
        </w:numPr>
      </w:pPr>
      <w:r w:rsidRPr="005E762C">
        <w:t>made in secret.</w:t>
      </w:r>
    </w:p>
    <w:p w14:paraId="360D9674" w14:textId="0D396F44" w:rsidR="00F8564E" w:rsidRPr="005E762C" w:rsidRDefault="00F8564E" w:rsidP="00F8564E">
      <w:pPr>
        <w:pStyle w:val="BodyText"/>
      </w:pPr>
      <w:r>
        <w:t xml:space="preserve">If an individual considers they have been offered a bribe or inducement, the offer must be reported to the Executive Director People &amp; Culture, who may report any criminal or corrupt conduct to Victoria Police or the </w:t>
      </w:r>
      <w:r w:rsidRPr="004A1BF4">
        <w:t>Independent Broad-based Anti-</w:t>
      </w:r>
      <w:r w:rsidR="00F72F19" w:rsidRPr="004A1BF4">
        <w:t>Corruption</w:t>
      </w:r>
      <w:r w:rsidRPr="004A1BF4">
        <w:t xml:space="preserve"> Commission.</w:t>
      </w:r>
      <w:r>
        <w:t xml:space="preserve">  </w:t>
      </w:r>
    </w:p>
    <w:p w14:paraId="4251BB7A" w14:textId="77777777" w:rsidR="00F8564E" w:rsidRPr="005E762C" w:rsidRDefault="00F8564E" w:rsidP="00F8564E">
      <w:pPr>
        <w:pStyle w:val="BodyText"/>
      </w:pPr>
    </w:p>
    <w:p w14:paraId="54922145" w14:textId="77777777" w:rsidR="00816F94" w:rsidRPr="005E762C" w:rsidRDefault="00816F94">
      <w:pPr>
        <w:spacing w:after="0"/>
        <w:rPr>
          <w:color w:val="000000" w:themeColor="text1"/>
        </w:rPr>
      </w:pPr>
      <w:r w:rsidRPr="005E762C">
        <w:br w:type="page"/>
      </w:r>
    </w:p>
    <w:p w14:paraId="051327C4" w14:textId="77777777" w:rsidR="00F8564E" w:rsidRPr="005E762C" w:rsidRDefault="00F8564E" w:rsidP="00F8564E">
      <w:pPr>
        <w:pStyle w:val="Heading5"/>
      </w:pPr>
      <w:r w:rsidRPr="005E762C">
        <w:t>Table 1 GIFT Test</w:t>
      </w:r>
    </w:p>
    <w:tbl>
      <w:tblPr>
        <w:tblStyle w:val="TableGrid"/>
        <w:tblW w:w="0" w:type="auto"/>
        <w:tblInd w:w="108" w:type="dxa"/>
        <w:tblLook w:val="04A0" w:firstRow="1" w:lastRow="0" w:firstColumn="1" w:lastColumn="0" w:noHBand="0" w:noVBand="1"/>
      </w:tblPr>
      <w:tblGrid>
        <w:gridCol w:w="426"/>
        <w:gridCol w:w="1134"/>
        <w:gridCol w:w="7620"/>
      </w:tblGrid>
      <w:tr w:rsidR="00F8564E" w:rsidRPr="005E762C" w14:paraId="10C82634" w14:textId="77777777" w:rsidTr="00446533">
        <w:tc>
          <w:tcPr>
            <w:tcW w:w="426" w:type="dxa"/>
            <w:shd w:val="clear" w:color="auto" w:fill="B8BBBD"/>
            <w:vAlign w:val="center"/>
          </w:tcPr>
          <w:p w14:paraId="4AE9398F" w14:textId="77777777" w:rsidR="00F8564E" w:rsidRPr="005E762C" w:rsidRDefault="00F8564E" w:rsidP="00D73F5F">
            <w:pPr>
              <w:spacing w:before="60" w:after="60" w:line="276" w:lineRule="auto"/>
              <w:rPr>
                <w:rFonts w:cs="Arial"/>
                <w:b/>
                <w:i/>
                <w:iCs/>
                <w:color w:val="404040" w:themeColor="text1" w:themeTint="BF"/>
              </w:rPr>
            </w:pPr>
            <w:r w:rsidRPr="005E762C">
              <w:rPr>
                <w:rFonts w:cs="Arial"/>
                <w:b/>
              </w:rPr>
              <w:t>G</w:t>
            </w:r>
          </w:p>
        </w:tc>
        <w:tc>
          <w:tcPr>
            <w:tcW w:w="1134" w:type="dxa"/>
            <w:shd w:val="clear" w:color="auto" w:fill="004C97"/>
            <w:vAlign w:val="center"/>
          </w:tcPr>
          <w:p w14:paraId="7051F4FE" w14:textId="77777777" w:rsidR="00F8564E" w:rsidRPr="005E762C" w:rsidRDefault="00F8564E" w:rsidP="00F8564E">
            <w:pPr>
              <w:pStyle w:val="ColumnHeading"/>
            </w:pPr>
            <w:r w:rsidRPr="005E762C">
              <w:t>Giver</w:t>
            </w:r>
          </w:p>
        </w:tc>
        <w:tc>
          <w:tcPr>
            <w:tcW w:w="7620" w:type="dxa"/>
          </w:tcPr>
          <w:p w14:paraId="1330B082" w14:textId="77777777" w:rsidR="00F8564E" w:rsidRPr="005E762C" w:rsidRDefault="00F8564E" w:rsidP="00F8564E">
            <w:pPr>
              <w:pStyle w:val="TableText"/>
              <w:rPr>
                <w:rStyle w:val="Bold"/>
              </w:rPr>
            </w:pPr>
            <w:r w:rsidRPr="005E762C">
              <w:rPr>
                <w:rStyle w:val="Bold"/>
              </w:rPr>
              <w:t>Who is providing the gift, benefit or hospitality and what is their relationship to me?</w:t>
            </w:r>
          </w:p>
          <w:p w14:paraId="4DF024FF" w14:textId="77777777" w:rsidR="00F8564E" w:rsidRPr="005E762C" w:rsidRDefault="00F8564E" w:rsidP="00F8564E">
            <w:pPr>
              <w:pStyle w:val="TableText"/>
            </w:pPr>
            <w:r w:rsidRPr="005E762C">
              <w:t>Does my role require me to select contractors, award grants, regulate industries or determine government policies? Could the person or organisation benefit from a decision I make?</w:t>
            </w:r>
          </w:p>
        </w:tc>
      </w:tr>
      <w:tr w:rsidR="00F8564E" w:rsidRPr="005E762C" w14:paraId="278B54CD" w14:textId="77777777" w:rsidTr="00446533">
        <w:tc>
          <w:tcPr>
            <w:tcW w:w="426" w:type="dxa"/>
            <w:shd w:val="clear" w:color="auto" w:fill="B8BBBD"/>
            <w:vAlign w:val="center"/>
          </w:tcPr>
          <w:p w14:paraId="696E4B04" w14:textId="77777777" w:rsidR="00F8564E" w:rsidRPr="005E762C" w:rsidRDefault="00F8564E" w:rsidP="00D73F5F">
            <w:pPr>
              <w:spacing w:before="60" w:after="60" w:line="276" w:lineRule="auto"/>
              <w:rPr>
                <w:rFonts w:cs="Arial"/>
                <w:b/>
                <w:i/>
                <w:iCs/>
                <w:color w:val="404040" w:themeColor="text1" w:themeTint="BF"/>
              </w:rPr>
            </w:pPr>
            <w:r w:rsidRPr="005E762C">
              <w:rPr>
                <w:rFonts w:cs="Arial"/>
                <w:b/>
              </w:rPr>
              <w:t>I</w:t>
            </w:r>
          </w:p>
        </w:tc>
        <w:tc>
          <w:tcPr>
            <w:tcW w:w="1134" w:type="dxa"/>
            <w:shd w:val="clear" w:color="auto" w:fill="004C97"/>
            <w:vAlign w:val="center"/>
          </w:tcPr>
          <w:p w14:paraId="4740C626" w14:textId="77777777" w:rsidR="00F8564E" w:rsidRPr="005E762C" w:rsidRDefault="00F8564E" w:rsidP="00F8564E">
            <w:pPr>
              <w:pStyle w:val="ColumnHeading"/>
            </w:pPr>
            <w:r w:rsidRPr="005E762C">
              <w:t>Influence</w:t>
            </w:r>
          </w:p>
        </w:tc>
        <w:tc>
          <w:tcPr>
            <w:tcW w:w="7620" w:type="dxa"/>
          </w:tcPr>
          <w:p w14:paraId="1AFE76A6" w14:textId="77777777" w:rsidR="00F8564E" w:rsidRPr="005E762C" w:rsidRDefault="00F8564E" w:rsidP="00F8564E">
            <w:pPr>
              <w:pStyle w:val="TableText"/>
              <w:rPr>
                <w:rStyle w:val="Bold"/>
              </w:rPr>
            </w:pPr>
            <w:r w:rsidRPr="005E762C">
              <w:rPr>
                <w:rStyle w:val="Bold"/>
              </w:rPr>
              <w:t>Are they seeking to gain an advantage or influence my decisions or actions?</w:t>
            </w:r>
          </w:p>
          <w:p w14:paraId="2F1A85CA" w14:textId="77777777" w:rsidR="00F8564E" w:rsidRPr="005E762C" w:rsidRDefault="00F8564E" w:rsidP="00F8564E">
            <w:pPr>
              <w:pStyle w:val="TableText"/>
            </w:pPr>
            <w:r w:rsidRPr="005E762C">
              <w:t>Has the gift, benefit or hospitality been offered to me publicly or privately? Is it a courtesy or a token of appreciation or valuable non-token offer? Does its timing coincide with a decision I am about to make or endorse a product or service?</w:t>
            </w:r>
          </w:p>
        </w:tc>
      </w:tr>
      <w:tr w:rsidR="00F8564E" w:rsidRPr="005E762C" w14:paraId="19040D95" w14:textId="77777777" w:rsidTr="00446533">
        <w:tc>
          <w:tcPr>
            <w:tcW w:w="426" w:type="dxa"/>
            <w:shd w:val="clear" w:color="auto" w:fill="B8BBBD"/>
            <w:vAlign w:val="center"/>
          </w:tcPr>
          <w:p w14:paraId="2740FBB7" w14:textId="77777777" w:rsidR="00F8564E" w:rsidRPr="005E762C" w:rsidRDefault="00F8564E" w:rsidP="00D73F5F">
            <w:pPr>
              <w:spacing w:before="60" w:after="60" w:line="276" w:lineRule="auto"/>
              <w:rPr>
                <w:rFonts w:cs="Arial"/>
                <w:b/>
                <w:i/>
                <w:iCs/>
                <w:color w:val="404040" w:themeColor="text1" w:themeTint="BF"/>
              </w:rPr>
            </w:pPr>
            <w:r w:rsidRPr="005E762C">
              <w:rPr>
                <w:rFonts w:cs="Arial"/>
                <w:b/>
              </w:rPr>
              <w:t>F</w:t>
            </w:r>
          </w:p>
        </w:tc>
        <w:tc>
          <w:tcPr>
            <w:tcW w:w="1134" w:type="dxa"/>
            <w:shd w:val="clear" w:color="auto" w:fill="004C97"/>
            <w:vAlign w:val="center"/>
          </w:tcPr>
          <w:p w14:paraId="03055AA6" w14:textId="77777777" w:rsidR="00F8564E" w:rsidRPr="005E762C" w:rsidRDefault="00F8564E" w:rsidP="00F8564E">
            <w:pPr>
              <w:pStyle w:val="ColumnHeading"/>
            </w:pPr>
            <w:r w:rsidRPr="005E762C">
              <w:t>Favour</w:t>
            </w:r>
          </w:p>
        </w:tc>
        <w:tc>
          <w:tcPr>
            <w:tcW w:w="7620" w:type="dxa"/>
          </w:tcPr>
          <w:p w14:paraId="7F734A7F" w14:textId="77777777" w:rsidR="00F8564E" w:rsidRPr="005E762C" w:rsidRDefault="00F8564E" w:rsidP="00F8564E">
            <w:pPr>
              <w:pStyle w:val="TableText"/>
              <w:rPr>
                <w:rStyle w:val="Bold"/>
              </w:rPr>
            </w:pPr>
            <w:r w:rsidRPr="005E762C">
              <w:rPr>
                <w:rStyle w:val="Bold"/>
              </w:rPr>
              <w:t>Are they seeking a favour in return for the gift, benefit or hospitality?</w:t>
            </w:r>
          </w:p>
          <w:p w14:paraId="04FDF330" w14:textId="77777777" w:rsidR="00F8564E" w:rsidRPr="005E762C" w:rsidRDefault="00F8564E" w:rsidP="00F8564E">
            <w:pPr>
              <w:pStyle w:val="TableText"/>
            </w:pPr>
            <w:r w:rsidRPr="005E762C">
              <w:t>Has the gift, benefit or hospitality been offered honestly? Has the person or organisation made several offers over the last 12 months?</w:t>
            </w:r>
          </w:p>
          <w:p w14:paraId="1D672506" w14:textId="77777777" w:rsidR="00F8564E" w:rsidRPr="005E762C" w:rsidRDefault="00F8564E" w:rsidP="00F8564E">
            <w:pPr>
              <w:pStyle w:val="TableText"/>
            </w:pPr>
            <w:r w:rsidRPr="005E762C">
              <w:t>Would accepting it create an obligation to return a favour?</w:t>
            </w:r>
          </w:p>
        </w:tc>
      </w:tr>
      <w:tr w:rsidR="00F8564E" w:rsidRPr="005E762C" w14:paraId="6BB443C1" w14:textId="77777777" w:rsidTr="00446533">
        <w:tc>
          <w:tcPr>
            <w:tcW w:w="426" w:type="dxa"/>
            <w:shd w:val="clear" w:color="auto" w:fill="B8BBBD"/>
            <w:vAlign w:val="center"/>
          </w:tcPr>
          <w:p w14:paraId="4B89BBA9" w14:textId="77777777" w:rsidR="00F8564E" w:rsidRPr="005E762C" w:rsidRDefault="00F8564E" w:rsidP="00D73F5F">
            <w:pPr>
              <w:spacing w:before="60" w:after="60" w:line="276" w:lineRule="auto"/>
              <w:rPr>
                <w:rFonts w:cs="Arial"/>
                <w:b/>
                <w:i/>
                <w:iCs/>
                <w:color w:val="404040" w:themeColor="text1" w:themeTint="BF"/>
              </w:rPr>
            </w:pPr>
            <w:r w:rsidRPr="005E762C">
              <w:rPr>
                <w:rFonts w:cs="Arial"/>
                <w:b/>
              </w:rPr>
              <w:t>T</w:t>
            </w:r>
          </w:p>
        </w:tc>
        <w:tc>
          <w:tcPr>
            <w:tcW w:w="1134" w:type="dxa"/>
            <w:shd w:val="clear" w:color="auto" w:fill="004C97"/>
            <w:vAlign w:val="center"/>
          </w:tcPr>
          <w:p w14:paraId="7DF11483" w14:textId="77777777" w:rsidR="00F8564E" w:rsidRPr="005E762C" w:rsidRDefault="00F8564E" w:rsidP="00F8564E">
            <w:pPr>
              <w:pStyle w:val="ColumnHeading"/>
            </w:pPr>
            <w:r w:rsidRPr="005E762C">
              <w:t>Trust</w:t>
            </w:r>
          </w:p>
        </w:tc>
        <w:tc>
          <w:tcPr>
            <w:tcW w:w="7620" w:type="dxa"/>
          </w:tcPr>
          <w:p w14:paraId="24ACE8CB" w14:textId="77777777" w:rsidR="00F8564E" w:rsidRPr="005E762C" w:rsidRDefault="00F8564E" w:rsidP="00F8564E">
            <w:pPr>
              <w:pStyle w:val="TableText"/>
              <w:rPr>
                <w:rStyle w:val="Bold"/>
              </w:rPr>
            </w:pPr>
            <w:r w:rsidRPr="005E762C">
              <w:rPr>
                <w:rStyle w:val="Bold"/>
              </w:rPr>
              <w:t>Would accepting the gift, benefit or hospitality diminish public trust?</w:t>
            </w:r>
          </w:p>
          <w:p w14:paraId="186B6953" w14:textId="77777777" w:rsidR="00F8564E" w:rsidRPr="005E762C" w:rsidRDefault="00F8564E" w:rsidP="00F8564E">
            <w:pPr>
              <w:pStyle w:val="TableText"/>
            </w:pPr>
            <w:r w:rsidRPr="005E762C">
              <w:t>How would the public view acceptance of this gift, benefit or hospitality? What would my colleagues, family, friends or associates think?</w:t>
            </w:r>
          </w:p>
        </w:tc>
      </w:tr>
    </w:tbl>
    <w:p w14:paraId="7D984290" w14:textId="77777777" w:rsidR="00F8564E" w:rsidRPr="005E762C" w:rsidRDefault="00F8564E" w:rsidP="00F8564E">
      <w:pPr>
        <w:pStyle w:val="Heading5"/>
      </w:pPr>
      <w:r w:rsidRPr="005E762C">
        <w:t>REQUIREMENTS FOR ACCEPTING NON-TOKEN OFFERS</w:t>
      </w:r>
    </w:p>
    <w:p w14:paraId="553E8D77" w14:textId="77777777" w:rsidR="00F8564E" w:rsidRPr="005E762C" w:rsidRDefault="00F8564E" w:rsidP="00F8564E">
      <w:pPr>
        <w:pStyle w:val="BodyText"/>
      </w:pPr>
      <w:r>
        <w:t xml:space="preserve">There will be some exceptions where there is a legitimate business reason for accepting a non-token offer. All accepted non-token offers must be approved in writing by the </w:t>
      </w:r>
      <w:r w:rsidR="00B624E9">
        <w:t>employee</w:t>
      </w:r>
      <w:r>
        <w:t>’s manager, recorded in the gifts, benefits and hospitality register and be consistent with the following requirements:</w:t>
      </w:r>
    </w:p>
    <w:p w14:paraId="5BC5F182" w14:textId="77777777" w:rsidR="00F8564E" w:rsidRPr="005E762C" w:rsidRDefault="00F8564E" w:rsidP="00BC3CBC">
      <w:pPr>
        <w:pStyle w:val="ListBullet"/>
        <w:numPr>
          <w:ilvl w:val="0"/>
          <w:numId w:val="25"/>
        </w:numPr>
      </w:pPr>
      <w:r w:rsidRPr="005E762C">
        <w:t>It does not raise an actual, potential or perceived conflict of interest or have the potential to bring the individual, the SRO or the public sector into disrepute (the ‘GIFT’ test at Table 1 is a good reminder of what to think about in making this assess</w:t>
      </w:r>
      <w:r w:rsidR="009D3D02" w:rsidRPr="005E762C">
        <w:t>ment)</w:t>
      </w:r>
    </w:p>
    <w:p w14:paraId="53CEFBEA" w14:textId="77777777" w:rsidR="00F8564E" w:rsidRPr="005E762C" w:rsidRDefault="00F8564E" w:rsidP="00BC3CBC">
      <w:pPr>
        <w:pStyle w:val="ListBullet"/>
        <w:numPr>
          <w:ilvl w:val="0"/>
          <w:numId w:val="25"/>
        </w:numPr>
      </w:pPr>
      <w:r w:rsidRPr="005E762C">
        <w:t>There is a legitimate business reason for acceptance. It is offered in the course of the individual’s official duties, relates to the individual’s responsibilities and has a benefit to the SRO, public sector or the State.</w:t>
      </w:r>
    </w:p>
    <w:p w14:paraId="46A32B3B" w14:textId="77777777" w:rsidR="00F8564E" w:rsidRPr="005E762C" w:rsidRDefault="00F8564E" w:rsidP="00F8564E">
      <w:pPr>
        <w:pStyle w:val="BodyText"/>
      </w:pPr>
      <w:r w:rsidRPr="005E762C">
        <w:t xml:space="preserve">SRO </w:t>
      </w:r>
      <w:r w:rsidR="00B624E9" w:rsidRPr="005E762C">
        <w:t>employees</w:t>
      </w:r>
      <w:r w:rsidRPr="005E762C">
        <w:t xml:space="preserve"> may be offered a gift or hospitality where there is no opportunity to seek written approval from their manager prior to accepting. For example, they may be offered a wrapped gift that they later identify as being a non-token gift. In these cases, the individual must seek approval from their manager within five business days.  </w:t>
      </w:r>
    </w:p>
    <w:p w14:paraId="7CBE4D7F" w14:textId="77777777" w:rsidR="00F8564E" w:rsidRPr="005E762C" w:rsidRDefault="00F8564E" w:rsidP="00F8564E">
      <w:pPr>
        <w:pStyle w:val="Heading5"/>
      </w:pPr>
      <w:r w:rsidRPr="005E762C">
        <w:t xml:space="preserve">RECORDING NON-TOKEN OFFERS OF GIFTS, BENEFITS AND HOSPITALITY </w:t>
      </w:r>
    </w:p>
    <w:p w14:paraId="2BB003E3" w14:textId="77777777" w:rsidR="00F8564E" w:rsidRPr="005E762C" w:rsidRDefault="00F8564E" w:rsidP="00F8564E">
      <w:pPr>
        <w:pStyle w:val="BodyText"/>
      </w:pPr>
      <w:r>
        <w:t xml:space="preserve">All non-token offers, whether accepted or declined, must be recorded in the SRO’s gifts, benefits and hospitality register. The business reason for accepting the non-token offer must be recorded in the register and provide sufficient detail to link the acceptance to the individual’s work functions and benefit to the SRO, public sector or State. </w:t>
      </w:r>
    </w:p>
    <w:p w14:paraId="1A91F3F5" w14:textId="77777777" w:rsidR="00F8564E" w:rsidRPr="005E762C" w:rsidRDefault="00F8564E" w:rsidP="00F8564E">
      <w:pPr>
        <w:pStyle w:val="BodyText"/>
      </w:pPr>
      <w:r w:rsidRPr="005E762C">
        <w:t xml:space="preserve">SRO </w:t>
      </w:r>
      <w:r w:rsidR="00B624E9" w:rsidRPr="005E762C">
        <w:t>employees</w:t>
      </w:r>
      <w:r w:rsidRPr="005E762C">
        <w:t xml:space="preserve"> should consider the following examples of acceptable and unacceptable levels of detail to be included in the SRO’s register when recording the business reason:</w:t>
      </w:r>
    </w:p>
    <w:p w14:paraId="6C48C555" w14:textId="77777777" w:rsidR="00F8564E" w:rsidRPr="005E762C" w:rsidRDefault="00F8564E" w:rsidP="00F8564E">
      <w:pPr>
        <w:pStyle w:val="BodyText"/>
      </w:pPr>
      <w:r w:rsidRPr="005E762C">
        <w:rPr>
          <w:rStyle w:val="Bold"/>
        </w:rPr>
        <w:t>Unacceptable:</w:t>
      </w:r>
      <w:r w:rsidRPr="005E762C">
        <w:tab/>
        <w:t>“Networking”</w:t>
      </w:r>
    </w:p>
    <w:p w14:paraId="3EC74B16" w14:textId="77777777" w:rsidR="00F8564E" w:rsidRPr="005E762C" w:rsidRDefault="00F8564E" w:rsidP="00446533">
      <w:pPr>
        <w:pStyle w:val="BodyText"/>
        <w:ind w:left="720" w:firstLine="720"/>
      </w:pPr>
      <w:r w:rsidRPr="005E762C">
        <w:t>“Maintaining stakeholder relationships”</w:t>
      </w:r>
    </w:p>
    <w:p w14:paraId="7E98528C" w14:textId="77777777" w:rsidR="00F8564E" w:rsidRPr="005E762C" w:rsidRDefault="00F8564E" w:rsidP="00446533">
      <w:pPr>
        <w:pStyle w:val="BodyText"/>
        <w:ind w:left="1440" w:hanging="1440"/>
      </w:pPr>
      <w:r w:rsidRPr="005E762C">
        <w:rPr>
          <w:rStyle w:val="Bold"/>
        </w:rPr>
        <w:t>Acceptable:</w:t>
      </w:r>
      <w:r w:rsidRPr="005E762C">
        <w:tab/>
        <w:t xml:space="preserve">“SRO </w:t>
      </w:r>
      <w:r w:rsidR="00B624E9" w:rsidRPr="005E762C">
        <w:t>employee</w:t>
      </w:r>
      <w:r w:rsidRPr="005E762C">
        <w:t xml:space="preserve"> is responsible for evaluating and reporting outcomes of the SRO’s sponsorship of Event A. </w:t>
      </w:r>
      <w:r w:rsidR="00B624E9" w:rsidRPr="005E762C">
        <w:t>Employee</w:t>
      </w:r>
      <w:r w:rsidRPr="005E762C">
        <w:t xml:space="preserve"> attended Event A in an official capacity and reported back to the SRO on the event.” </w:t>
      </w:r>
    </w:p>
    <w:p w14:paraId="34A3B09B" w14:textId="77777777" w:rsidR="00F8564E" w:rsidRPr="005E762C" w:rsidRDefault="00F8564E" w:rsidP="00446533">
      <w:pPr>
        <w:pStyle w:val="BodyText"/>
        <w:ind w:left="1440"/>
      </w:pPr>
      <w:r w:rsidRPr="005E762C">
        <w:t xml:space="preserve">“SRO </w:t>
      </w:r>
      <w:r w:rsidR="00B624E9" w:rsidRPr="005E762C">
        <w:t>employee</w:t>
      </w:r>
      <w:r w:rsidRPr="005E762C">
        <w:t xml:space="preserve"> presented to a visiting international delegation. The delegation presented the </w:t>
      </w:r>
      <w:r w:rsidR="00B624E9" w:rsidRPr="005E762C">
        <w:t>employee</w:t>
      </w:r>
      <w:r w:rsidRPr="005E762C">
        <w:t xml:space="preserve"> with a cultural item worth an estimated $200. Declining the gift would have caused offence. The Gift was accepted, written approval was subsequently obtained for the gift, which became SRO’s property.”  </w:t>
      </w:r>
    </w:p>
    <w:p w14:paraId="06BB0BF2" w14:textId="77777777" w:rsidR="00F8564E" w:rsidRPr="005E762C" w:rsidRDefault="00F8564E" w:rsidP="00446533">
      <w:pPr>
        <w:pStyle w:val="Heading5"/>
      </w:pPr>
      <w:r w:rsidRPr="005E762C">
        <w:t>REPORTING</w:t>
      </w:r>
    </w:p>
    <w:p w14:paraId="50C5EA07" w14:textId="77777777" w:rsidR="00F8564E" w:rsidRPr="004A1BF4" w:rsidRDefault="00F8564E" w:rsidP="00F8564E">
      <w:pPr>
        <w:pStyle w:val="BodyText"/>
      </w:pPr>
      <w:r w:rsidRPr="004A1BF4">
        <w:t xml:space="preserve">The SRO’s Audit Committee will receive a report from the </w:t>
      </w:r>
      <w:r w:rsidR="002835E2" w:rsidRPr="004A1BF4">
        <w:t xml:space="preserve">HR </w:t>
      </w:r>
      <w:r w:rsidRPr="004A1BF4">
        <w:t>Manager at least annually on the administration and quality control of the gifts, benefits and hospitality policy, processes and register. The report will include analysis of SRO’s gifts, benefits and hospitality risks (including multiple offers from the same source and offers from business associates), risk mitigation measures and any proposed improvements.</w:t>
      </w:r>
    </w:p>
    <w:p w14:paraId="53AFE156" w14:textId="77777777" w:rsidR="00F8564E" w:rsidRPr="005E762C" w:rsidRDefault="00F8564E" w:rsidP="00F8564E">
      <w:pPr>
        <w:pStyle w:val="BodyText"/>
      </w:pPr>
      <w:r w:rsidRPr="004A1BF4">
        <w:t>The register will be made available on the SRO’s website on a 6 monthly basis at the end of January and July each year.</w:t>
      </w:r>
    </w:p>
    <w:p w14:paraId="1D64956F" w14:textId="77777777" w:rsidR="00F8564E" w:rsidRPr="005E762C" w:rsidRDefault="00F8564E" w:rsidP="00446533">
      <w:pPr>
        <w:pStyle w:val="Heading5"/>
      </w:pPr>
      <w:r w:rsidRPr="005E762C">
        <w:t>OWNERSHIP OF GIFTS OFFERED TO INDIVIDUALS</w:t>
      </w:r>
    </w:p>
    <w:p w14:paraId="36C57A19" w14:textId="77777777" w:rsidR="00F8564E" w:rsidRPr="005E762C" w:rsidRDefault="00F8564E" w:rsidP="00F8564E">
      <w:pPr>
        <w:pStyle w:val="BodyText"/>
      </w:pPr>
      <w:r w:rsidRPr="005E762C">
        <w:t xml:space="preserve">Non-token gifts accepted by an SRO </w:t>
      </w:r>
      <w:r w:rsidR="00B624E9" w:rsidRPr="005E762C">
        <w:t>employee</w:t>
      </w:r>
      <w:r w:rsidRPr="005E762C">
        <w:t xml:space="preserve"> for their work or contribution may be retained by the individual where their manager or organisational delegate has provided written approval. SRO </w:t>
      </w:r>
      <w:r w:rsidR="00B624E9" w:rsidRPr="005E762C">
        <w:t>employees</w:t>
      </w:r>
      <w:r w:rsidRPr="005E762C">
        <w:t xml:space="preserve"> must transfer to SRO official gifts or any gift of cultural significance or significant value (over $50). </w:t>
      </w:r>
    </w:p>
    <w:p w14:paraId="50E9E274" w14:textId="77777777" w:rsidR="00F8564E" w:rsidRPr="005E762C" w:rsidRDefault="00F8564E" w:rsidP="00446533">
      <w:pPr>
        <w:pStyle w:val="Heading3notnumbered"/>
      </w:pPr>
      <w:r w:rsidRPr="005E762C">
        <w:t>Management of the provision of gifts, benefits and hospitality</w:t>
      </w:r>
    </w:p>
    <w:p w14:paraId="37A16005" w14:textId="77777777" w:rsidR="00F8564E" w:rsidRPr="005E762C" w:rsidRDefault="00F8564E" w:rsidP="00F8564E">
      <w:pPr>
        <w:pStyle w:val="BodyText"/>
      </w:pPr>
      <w:r w:rsidRPr="005E762C">
        <w:t>This section sets out the requirements for providing gifts, benefits and hospitality on behalf of the SRO.</w:t>
      </w:r>
    </w:p>
    <w:p w14:paraId="44ED7E87" w14:textId="77777777" w:rsidR="00F8564E" w:rsidRPr="005E762C" w:rsidRDefault="00F8564E" w:rsidP="00446533">
      <w:pPr>
        <w:pStyle w:val="Heading5"/>
      </w:pPr>
      <w:r w:rsidRPr="005E762C">
        <w:t>REQUIREMENTS FOR PROVIDING GIFTS, BENEFITS AND HOSPITALITY</w:t>
      </w:r>
    </w:p>
    <w:p w14:paraId="661BCB4B" w14:textId="77777777" w:rsidR="00F8564E" w:rsidRPr="005E762C" w:rsidRDefault="00F8564E" w:rsidP="00F8564E">
      <w:pPr>
        <w:pStyle w:val="BodyText"/>
      </w:pPr>
      <w:r w:rsidRPr="005E762C">
        <w:t>Gifts, benefits and hospitality may be provided to welcome guests, facilitate the development of business relationships, further public sector business outcomes and to celebrate achievements.</w:t>
      </w:r>
    </w:p>
    <w:p w14:paraId="5352FCAC" w14:textId="77777777" w:rsidR="00F8564E" w:rsidRPr="005E762C" w:rsidRDefault="00F8564E" w:rsidP="00F8564E">
      <w:pPr>
        <w:pStyle w:val="BodyText"/>
      </w:pPr>
      <w:r w:rsidRPr="005E762C">
        <w:t xml:space="preserve">When deciding whether to provide gifts, benefits or hospitality or the type of gift, benefit or hospitality to provide SRO </w:t>
      </w:r>
      <w:r w:rsidR="00B624E9" w:rsidRPr="005E762C">
        <w:t>employees</w:t>
      </w:r>
      <w:r w:rsidRPr="005E762C">
        <w:t xml:space="preserve"> must ensure: </w:t>
      </w:r>
    </w:p>
    <w:p w14:paraId="31B43910" w14:textId="77777777" w:rsidR="00F8564E" w:rsidRPr="005E762C" w:rsidRDefault="00F8564E" w:rsidP="00446533">
      <w:pPr>
        <w:pStyle w:val="ListBullet"/>
      </w:pPr>
      <w:r w:rsidRPr="005E762C">
        <w:t>Any gift, benefit or hospitality is provided for a business reason in that it furthers the conduct of official business or other legitimate organisational goals, or promotes and supports government policy objectives and priorities</w:t>
      </w:r>
    </w:p>
    <w:p w14:paraId="69FDE7D6" w14:textId="77777777" w:rsidR="00F8564E" w:rsidRPr="005E762C" w:rsidRDefault="00F8564E" w:rsidP="00446533">
      <w:pPr>
        <w:pStyle w:val="ListBullet"/>
      </w:pPr>
      <w:r w:rsidRPr="005E762C">
        <w:t>That any costs are proportionate to the benefits obtained for the State, and would be considered reasonable in terms of community expectations (the ‘HOST’ test at Table 2 is a good reminder of what to think about in making this assessment)</w:t>
      </w:r>
    </w:p>
    <w:p w14:paraId="4CB3F274" w14:textId="77777777" w:rsidR="00F8564E" w:rsidRPr="005E762C" w:rsidRDefault="00F8564E" w:rsidP="00446533">
      <w:pPr>
        <w:pStyle w:val="ListBullet"/>
      </w:pPr>
      <w:r w:rsidRPr="005E762C">
        <w:t xml:space="preserve">It does not raise an actual, potential or </w:t>
      </w:r>
      <w:r w:rsidR="00446533" w:rsidRPr="005E762C">
        <w:t>perceived conflict of interest.</w:t>
      </w:r>
    </w:p>
    <w:p w14:paraId="2E6933B1" w14:textId="77777777" w:rsidR="00F8564E" w:rsidRPr="005E762C" w:rsidRDefault="00F8564E" w:rsidP="00446533">
      <w:pPr>
        <w:pStyle w:val="Heading5"/>
      </w:pPr>
      <w:r w:rsidRPr="005E762C">
        <w:t>TABLE 2 HOST TEST</w:t>
      </w:r>
    </w:p>
    <w:tbl>
      <w:tblPr>
        <w:tblStyle w:val="TableGrid"/>
        <w:tblW w:w="0" w:type="auto"/>
        <w:tblInd w:w="108" w:type="dxa"/>
        <w:tblLook w:val="04A0" w:firstRow="1" w:lastRow="0" w:firstColumn="1" w:lastColumn="0" w:noHBand="0" w:noVBand="1"/>
      </w:tblPr>
      <w:tblGrid>
        <w:gridCol w:w="426"/>
        <w:gridCol w:w="1274"/>
        <w:gridCol w:w="7620"/>
      </w:tblGrid>
      <w:tr w:rsidR="00446533" w:rsidRPr="005E762C" w14:paraId="594F2620" w14:textId="77777777" w:rsidTr="00446533">
        <w:trPr>
          <w:cantSplit/>
        </w:trPr>
        <w:tc>
          <w:tcPr>
            <w:tcW w:w="426" w:type="dxa"/>
            <w:shd w:val="clear" w:color="auto" w:fill="B8BBBD"/>
            <w:vAlign w:val="center"/>
          </w:tcPr>
          <w:p w14:paraId="14F0E831" w14:textId="77777777" w:rsidR="00446533" w:rsidRPr="005E762C" w:rsidRDefault="00446533" w:rsidP="00D73F5F">
            <w:pPr>
              <w:keepNext/>
              <w:spacing w:before="60" w:after="60" w:line="276" w:lineRule="auto"/>
              <w:rPr>
                <w:rFonts w:cs="Arial"/>
                <w:b/>
                <w:i/>
                <w:iCs/>
                <w:color w:val="404040" w:themeColor="text1" w:themeTint="BF"/>
              </w:rPr>
            </w:pPr>
            <w:r w:rsidRPr="005E762C">
              <w:rPr>
                <w:rFonts w:cs="Arial"/>
                <w:b/>
              </w:rPr>
              <w:t>H</w:t>
            </w:r>
          </w:p>
        </w:tc>
        <w:tc>
          <w:tcPr>
            <w:tcW w:w="1134" w:type="dxa"/>
            <w:shd w:val="clear" w:color="auto" w:fill="004C97"/>
            <w:vAlign w:val="center"/>
          </w:tcPr>
          <w:p w14:paraId="79085FF0" w14:textId="77777777" w:rsidR="00446533" w:rsidRPr="005E762C" w:rsidRDefault="00446533" w:rsidP="00446533">
            <w:pPr>
              <w:pStyle w:val="ColumnHeading"/>
            </w:pPr>
            <w:r w:rsidRPr="005E762C">
              <w:t>Hospitality</w:t>
            </w:r>
          </w:p>
        </w:tc>
        <w:tc>
          <w:tcPr>
            <w:tcW w:w="7620" w:type="dxa"/>
          </w:tcPr>
          <w:p w14:paraId="5155669C" w14:textId="77777777" w:rsidR="00446533" w:rsidRPr="005E762C" w:rsidRDefault="00446533" w:rsidP="00446533">
            <w:pPr>
              <w:pStyle w:val="TableText"/>
              <w:rPr>
                <w:rStyle w:val="Bold"/>
              </w:rPr>
            </w:pPr>
            <w:r w:rsidRPr="005E762C">
              <w:rPr>
                <w:rStyle w:val="Bold"/>
              </w:rPr>
              <w:t>To whom is the gift or hospitality being provided?</w:t>
            </w:r>
          </w:p>
          <w:p w14:paraId="544E4237" w14:textId="77777777" w:rsidR="00446533" w:rsidRPr="005E762C" w:rsidRDefault="00446533" w:rsidP="00446533">
            <w:pPr>
              <w:pStyle w:val="TableText"/>
            </w:pPr>
            <w:r w:rsidRPr="005E762C">
              <w:t>Will recipients be external business partners, or individuals of the host organisation?</w:t>
            </w:r>
          </w:p>
        </w:tc>
      </w:tr>
      <w:tr w:rsidR="00446533" w:rsidRPr="005E762C" w14:paraId="2FA55FF0" w14:textId="77777777" w:rsidTr="00446533">
        <w:trPr>
          <w:cantSplit/>
        </w:trPr>
        <w:tc>
          <w:tcPr>
            <w:tcW w:w="426" w:type="dxa"/>
            <w:shd w:val="clear" w:color="auto" w:fill="B8BBBD"/>
            <w:vAlign w:val="center"/>
          </w:tcPr>
          <w:p w14:paraId="4C7673EA" w14:textId="77777777" w:rsidR="00446533" w:rsidRPr="005E762C" w:rsidRDefault="00446533" w:rsidP="00D73F5F">
            <w:pPr>
              <w:keepNext/>
              <w:spacing w:before="60" w:after="60" w:line="276" w:lineRule="auto"/>
              <w:rPr>
                <w:rFonts w:cs="Arial"/>
                <w:b/>
                <w:i/>
                <w:iCs/>
                <w:color w:val="404040" w:themeColor="text1" w:themeTint="BF"/>
              </w:rPr>
            </w:pPr>
            <w:r w:rsidRPr="005E762C">
              <w:rPr>
                <w:rFonts w:cs="Arial"/>
                <w:b/>
              </w:rPr>
              <w:t>O</w:t>
            </w:r>
          </w:p>
        </w:tc>
        <w:tc>
          <w:tcPr>
            <w:tcW w:w="1134" w:type="dxa"/>
            <w:shd w:val="clear" w:color="auto" w:fill="004C97"/>
            <w:vAlign w:val="center"/>
          </w:tcPr>
          <w:p w14:paraId="7749AD20" w14:textId="77777777" w:rsidR="00446533" w:rsidRPr="005E762C" w:rsidRDefault="00446533" w:rsidP="00446533">
            <w:pPr>
              <w:pStyle w:val="ColumnHeading"/>
            </w:pPr>
            <w:r w:rsidRPr="005E762C">
              <w:t>Objectives</w:t>
            </w:r>
          </w:p>
        </w:tc>
        <w:tc>
          <w:tcPr>
            <w:tcW w:w="7620" w:type="dxa"/>
          </w:tcPr>
          <w:p w14:paraId="60838BA6" w14:textId="77777777" w:rsidR="00446533" w:rsidRPr="005E762C" w:rsidRDefault="00446533" w:rsidP="00446533">
            <w:pPr>
              <w:pStyle w:val="TableText"/>
              <w:rPr>
                <w:rStyle w:val="Bold"/>
              </w:rPr>
            </w:pPr>
            <w:r w:rsidRPr="005E762C">
              <w:rPr>
                <w:rStyle w:val="Bold"/>
              </w:rPr>
              <w:t>For what purpose will hospitality be provided?</w:t>
            </w:r>
          </w:p>
          <w:p w14:paraId="31915638" w14:textId="77777777" w:rsidR="00446533" w:rsidRPr="005E762C" w:rsidRDefault="00446533" w:rsidP="00446533">
            <w:pPr>
              <w:pStyle w:val="TableText"/>
            </w:pPr>
            <w:r w:rsidRPr="005E762C">
              <w:t>Is the hospitality being provided to further the conduct of official business? Will it promote and support government policy objectives and priorities? Will it contribute to staff wellbeing and workplace satisfaction?</w:t>
            </w:r>
          </w:p>
        </w:tc>
      </w:tr>
      <w:tr w:rsidR="00446533" w:rsidRPr="005E762C" w14:paraId="391BE8CA" w14:textId="77777777" w:rsidTr="00446533">
        <w:trPr>
          <w:cantSplit/>
        </w:trPr>
        <w:tc>
          <w:tcPr>
            <w:tcW w:w="426" w:type="dxa"/>
            <w:shd w:val="clear" w:color="auto" w:fill="B8BBBD"/>
            <w:vAlign w:val="center"/>
          </w:tcPr>
          <w:p w14:paraId="765E3980" w14:textId="77777777" w:rsidR="00446533" w:rsidRPr="005E762C" w:rsidRDefault="00446533" w:rsidP="00D73F5F">
            <w:pPr>
              <w:keepNext/>
              <w:spacing w:before="60" w:after="60" w:line="276" w:lineRule="auto"/>
              <w:rPr>
                <w:rFonts w:cs="Arial"/>
                <w:b/>
                <w:i/>
                <w:iCs/>
                <w:color w:val="404040" w:themeColor="text1" w:themeTint="BF"/>
              </w:rPr>
            </w:pPr>
            <w:r w:rsidRPr="005E762C">
              <w:rPr>
                <w:rFonts w:cs="Arial"/>
                <w:b/>
              </w:rPr>
              <w:t>S</w:t>
            </w:r>
          </w:p>
        </w:tc>
        <w:tc>
          <w:tcPr>
            <w:tcW w:w="1134" w:type="dxa"/>
            <w:shd w:val="clear" w:color="auto" w:fill="004C97"/>
            <w:vAlign w:val="center"/>
          </w:tcPr>
          <w:p w14:paraId="17D0D000" w14:textId="77777777" w:rsidR="00446533" w:rsidRPr="005E762C" w:rsidRDefault="00446533" w:rsidP="00446533">
            <w:pPr>
              <w:pStyle w:val="ColumnHeading"/>
            </w:pPr>
            <w:r w:rsidRPr="005E762C">
              <w:t>Spend</w:t>
            </w:r>
          </w:p>
        </w:tc>
        <w:tc>
          <w:tcPr>
            <w:tcW w:w="7620" w:type="dxa"/>
          </w:tcPr>
          <w:p w14:paraId="40C84413" w14:textId="77777777" w:rsidR="00446533" w:rsidRPr="005E762C" w:rsidRDefault="00446533" w:rsidP="00446533">
            <w:pPr>
              <w:pStyle w:val="TableText"/>
              <w:rPr>
                <w:rStyle w:val="Bold"/>
              </w:rPr>
            </w:pPr>
            <w:r w:rsidRPr="005E762C">
              <w:rPr>
                <w:rStyle w:val="Bold"/>
              </w:rPr>
              <w:t>Will public funds be spent?</w:t>
            </w:r>
          </w:p>
          <w:p w14:paraId="5DE86FF5" w14:textId="77777777" w:rsidR="00446533" w:rsidRPr="005E762C" w:rsidRDefault="00446533" w:rsidP="00446533">
            <w:pPr>
              <w:pStyle w:val="TableText"/>
            </w:pPr>
            <w:r w:rsidRPr="005E762C">
              <w:t>What type of hospitality will be provided? Will it be modest or expensive, and will alcohol be provided as a courtesy or an indulgence? Will the costs incurred be proportionate to the benefits obtained?</w:t>
            </w:r>
          </w:p>
        </w:tc>
      </w:tr>
      <w:tr w:rsidR="00446533" w:rsidRPr="005E762C" w14:paraId="04F42DB2" w14:textId="77777777" w:rsidTr="00446533">
        <w:trPr>
          <w:cantSplit/>
        </w:trPr>
        <w:tc>
          <w:tcPr>
            <w:tcW w:w="426" w:type="dxa"/>
            <w:shd w:val="clear" w:color="auto" w:fill="B8BBBD"/>
            <w:vAlign w:val="center"/>
          </w:tcPr>
          <w:p w14:paraId="7EBE5E9A" w14:textId="77777777" w:rsidR="00446533" w:rsidRPr="005E762C" w:rsidRDefault="00446533" w:rsidP="00D73F5F">
            <w:pPr>
              <w:spacing w:before="60" w:after="60" w:line="276" w:lineRule="auto"/>
              <w:rPr>
                <w:rFonts w:cs="Arial"/>
                <w:b/>
                <w:i/>
                <w:iCs/>
                <w:color w:val="404040" w:themeColor="text1" w:themeTint="BF"/>
              </w:rPr>
            </w:pPr>
            <w:r w:rsidRPr="005E762C">
              <w:rPr>
                <w:rFonts w:cs="Arial"/>
                <w:b/>
              </w:rPr>
              <w:t>T</w:t>
            </w:r>
          </w:p>
        </w:tc>
        <w:tc>
          <w:tcPr>
            <w:tcW w:w="1134" w:type="dxa"/>
            <w:shd w:val="clear" w:color="auto" w:fill="004C97"/>
            <w:vAlign w:val="center"/>
          </w:tcPr>
          <w:p w14:paraId="68403640" w14:textId="77777777" w:rsidR="00446533" w:rsidRPr="005E762C" w:rsidRDefault="00446533" w:rsidP="00446533">
            <w:pPr>
              <w:pStyle w:val="ColumnHeading"/>
            </w:pPr>
            <w:r w:rsidRPr="005E762C">
              <w:t>Trust</w:t>
            </w:r>
          </w:p>
        </w:tc>
        <w:tc>
          <w:tcPr>
            <w:tcW w:w="7620" w:type="dxa"/>
          </w:tcPr>
          <w:p w14:paraId="026E1C48" w14:textId="77777777" w:rsidR="00446533" w:rsidRPr="005E762C" w:rsidRDefault="00446533" w:rsidP="00446533">
            <w:pPr>
              <w:pStyle w:val="TableText"/>
              <w:rPr>
                <w:rStyle w:val="Bold"/>
              </w:rPr>
            </w:pPr>
            <w:r w:rsidRPr="005E762C">
              <w:rPr>
                <w:rStyle w:val="Bold"/>
              </w:rPr>
              <w:t>Will public trust be enhanced or diminished?</w:t>
            </w:r>
          </w:p>
          <w:p w14:paraId="553FA044" w14:textId="77777777" w:rsidR="00446533" w:rsidRPr="005E762C" w:rsidRDefault="00446533" w:rsidP="00446533">
            <w:pPr>
              <w:pStyle w:val="TableText"/>
            </w:pPr>
            <w:r w:rsidRPr="005E762C">
              <w:t>Could you publicly explain the rationale for providing the gift or hospitality? Will the event be conducted in a manner which upholds the reputation of the public sector? Have records in relation to the gift or hospitality been kept in accordance with reporting and recording procedures?</w:t>
            </w:r>
          </w:p>
        </w:tc>
      </w:tr>
    </w:tbl>
    <w:p w14:paraId="2689B9BE" w14:textId="77777777" w:rsidR="00446533" w:rsidRPr="005E762C" w:rsidRDefault="00446533" w:rsidP="00446533">
      <w:pPr>
        <w:pStyle w:val="Heading5"/>
      </w:pPr>
      <w:r w:rsidRPr="005E762C">
        <w:t>CONTAINING COSTS</w:t>
      </w:r>
    </w:p>
    <w:p w14:paraId="0CA76AB8" w14:textId="77777777" w:rsidR="00446533" w:rsidRPr="005E762C" w:rsidRDefault="00446533" w:rsidP="00446533">
      <w:pPr>
        <w:pStyle w:val="BodyText"/>
      </w:pPr>
      <w:r w:rsidRPr="005E762C">
        <w:t xml:space="preserve">SRO </w:t>
      </w:r>
      <w:r w:rsidR="00B624E9" w:rsidRPr="005E762C">
        <w:t>employees</w:t>
      </w:r>
      <w:r w:rsidRPr="005E762C">
        <w:t xml:space="preserve"> should contain costs involved in the provision of gifts, benefits and hospitality wherever possible. The following questions may be useful to assist individuals to decide the type of gift, benefit or hospitality to provide:</w:t>
      </w:r>
    </w:p>
    <w:p w14:paraId="0DB5CD45" w14:textId="77777777" w:rsidR="00446533" w:rsidRPr="005E762C" w:rsidRDefault="00446533" w:rsidP="00446533">
      <w:pPr>
        <w:pStyle w:val="ListBullet"/>
      </w:pPr>
      <w:r w:rsidRPr="005E762C">
        <w:t>Will the cost of providing the gift, benefit or hospitality be proportionate to the potential benefits?</w:t>
      </w:r>
    </w:p>
    <w:p w14:paraId="12907AEE" w14:textId="77777777" w:rsidR="00446533" w:rsidRPr="005E762C" w:rsidRDefault="00446533" w:rsidP="00446533">
      <w:pPr>
        <w:pStyle w:val="ListBullet"/>
      </w:pPr>
      <w:r w:rsidRPr="005E762C">
        <w:t xml:space="preserve">Is an external venue necessary or does the organisation have facilities to host the event? </w:t>
      </w:r>
    </w:p>
    <w:p w14:paraId="4BC8AC0A" w14:textId="77777777" w:rsidR="00446533" w:rsidRPr="005E762C" w:rsidRDefault="00446533" w:rsidP="00446533">
      <w:pPr>
        <w:pStyle w:val="ListBullet"/>
      </w:pPr>
      <w:r w:rsidRPr="005E762C">
        <w:t>Is the proposed catering or hospitality proportionate to the number of attendees?</w:t>
      </w:r>
    </w:p>
    <w:p w14:paraId="6C7CE295" w14:textId="77777777" w:rsidR="00446533" w:rsidRPr="005E762C" w:rsidRDefault="00446533" w:rsidP="00446533">
      <w:pPr>
        <w:pStyle w:val="ListBullet"/>
      </w:pPr>
      <w:r w:rsidRPr="005E762C">
        <w:t>Does the size of the event and number of attendees align with intended outcomes?</w:t>
      </w:r>
    </w:p>
    <w:p w14:paraId="0E0D5E00" w14:textId="77777777" w:rsidR="00446533" w:rsidRPr="005E762C" w:rsidRDefault="00446533" w:rsidP="00446533">
      <w:pPr>
        <w:pStyle w:val="ListBullet"/>
      </w:pPr>
      <w:r w:rsidRPr="005E762C">
        <w:t>Will providing the gift, benefit or hospitality be viewed by the public as excessive?</w:t>
      </w:r>
    </w:p>
    <w:p w14:paraId="31DBE0D2" w14:textId="77777777" w:rsidR="00446533" w:rsidRPr="005E762C" w:rsidRDefault="00446533" w:rsidP="00446533">
      <w:pPr>
        <w:pStyle w:val="Heading3notnumbered"/>
      </w:pPr>
      <w:r w:rsidRPr="005E762C">
        <w:t>Acceptable Hospitality Expenditure</w:t>
      </w:r>
    </w:p>
    <w:p w14:paraId="5B4CA251" w14:textId="77777777" w:rsidR="00446533" w:rsidRPr="005E762C" w:rsidRDefault="00446533" w:rsidP="00446533">
      <w:pPr>
        <w:pStyle w:val="BodyText"/>
      </w:pPr>
      <w:r w:rsidRPr="005E762C">
        <w:t>Any expenditure on hospitality must be authorised by the Commissioner, Executive Director Corporate Services or the CFO and will be considered in terms of its business purpose and objectives. The following principles set the policy framework for acceptable official hospitality expenditure:</w:t>
      </w:r>
    </w:p>
    <w:p w14:paraId="25FBE8F3" w14:textId="77777777" w:rsidR="00446533" w:rsidRPr="005E762C" w:rsidRDefault="00446533" w:rsidP="00446533">
      <w:pPr>
        <w:pStyle w:val="BodyText"/>
      </w:pPr>
      <w:r w:rsidRPr="005E762C">
        <w:t>Official Hospitality is only provided at events that are in the interests of the SRO and for a legitimate business purpose; and when Official Hospitality is provided, the overall cost is no more than modest and prudent.</w:t>
      </w:r>
    </w:p>
    <w:p w14:paraId="4C247EDB" w14:textId="77777777" w:rsidR="00446533" w:rsidRPr="005E762C" w:rsidRDefault="00446533" w:rsidP="00446533">
      <w:pPr>
        <w:pStyle w:val="BodyText"/>
      </w:pPr>
      <w:r w:rsidRPr="005E762C">
        <w:t>It is a common and acceptable contemporary business practice for employer funded hospitality to be arranged to facilitate the conduct of business. However, proper accountability requirements attaching to public expenditure require a high degree of prudence and stringency to be exhibited in the use of such hospitality.</w:t>
      </w:r>
    </w:p>
    <w:p w14:paraId="2F236376" w14:textId="77777777" w:rsidR="00446533" w:rsidRPr="005E762C" w:rsidRDefault="00446533" w:rsidP="00446533">
      <w:pPr>
        <w:pStyle w:val="BodyText"/>
      </w:pPr>
      <w:r w:rsidRPr="005E762C">
        <w:t xml:space="preserve">Funds for Official Hospitality are provided to help foster the conduct of public business. This includes entertaining diplomatic and foreign government officials including overseas or interstate delegations, people from the business and academic sectors and fellow employees. Hospitality includes meals and beverages provided in the workplace, seminars/conferences, </w:t>
      </w:r>
      <w:r w:rsidR="00B624E9" w:rsidRPr="005E762C">
        <w:t>restaurants</w:t>
      </w:r>
      <w:r w:rsidRPr="005E762C">
        <w:t xml:space="preserve"> or at home.</w:t>
      </w:r>
    </w:p>
    <w:p w14:paraId="7BAB7FC7" w14:textId="77777777" w:rsidR="00446533" w:rsidRPr="005E762C" w:rsidRDefault="00446533" w:rsidP="00446533">
      <w:pPr>
        <w:pStyle w:val="Heading3notnumbered"/>
      </w:pPr>
      <w:r w:rsidRPr="005E762C">
        <w:t>In-house Hospitality</w:t>
      </w:r>
    </w:p>
    <w:p w14:paraId="7D51F44B" w14:textId="77777777" w:rsidR="00446533" w:rsidRPr="005E762C" w:rsidRDefault="00446533" w:rsidP="00446533">
      <w:pPr>
        <w:pStyle w:val="BodyText"/>
      </w:pPr>
      <w:r w:rsidRPr="005E762C">
        <w:t>Hospitality concerning inter and intra-departmental activities requires special consideration and as a general rule is not permitted. It may normally only be authorised as an integral component of wider business activities such as training courses, planning days, conferences and the like where continuity or extension of the activity through or into a hospitality function is integral to the proper public purpose of the event.</w:t>
      </w:r>
    </w:p>
    <w:p w14:paraId="4C15DCF4" w14:textId="77777777" w:rsidR="00446533" w:rsidRPr="005E762C" w:rsidRDefault="00446533" w:rsidP="00446533">
      <w:pPr>
        <w:pStyle w:val="Heading3notnumbered"/>
      </w:pPr>
      <w:r w:rsidRPr="005E762C">
        <w:t>Working Meals</w:t>
      </w:r>
    </w:p>
    <w:p w14:paraId="7DCA5248" w14:textId="77777777" w:rsidR="00446533" w:rsidRPr="005E762C" w:rsidRDefault="00446533" w:rsidP="00446533">
      <w:pPr>
        <w:pStyle w:val="BodyText"/>
      </w:pPr>
      <w:r w:rsidRPr="005E762C">
        <w:t>Expenditure on hospitality for working meals is acceptable in certain circumstances. These include:</w:t>
      </w:r>
    </w:p>
    <w:p w14:paraId="55C38599" w14:textId="77777777" w:rsidR="00446533" w:rsidRPr="005E762C" w:rsidRDefault="00446533" w:rsidP="00BC3CBC">
      <w:pPr>
        <w:pStyle w:val="ListBullet"/>
        <w:numPr>
          <w:ilvl w:val="0"/>
          <w:numId w:val="26"/>
        </w:numPr>
      </w:pPr>
      <w:r w:rsidRPr="005E762C">
        <w:t>if the meal forms part of a full day's meeting (i.e. lunch) and there are cost advantages in continuing the meeting through the normal lunch break</w:t>
      </w:r>
    </w:p>
    <w:p w14:paraId="48E918B8" w14:textId="77777777" w:rsidR="00446533" w:rsidRPr="005E762C" w:rsidRDefault="00446533" w:rsidP="00BC3CBC">
      <w:pPr>
        <w:pStyle w:val="ListBullet"/>
        <w:numPr>
          <w:ilvl w:val="0"/>
          <w:numId w:val="26"/>
        </w:numPr>
      </w:pPr>
      <w:r w:rsidRPr="005E762C">
        <w:t>if there are external guests or officials from at least one other Organisation or Government Department and official busine</w:t>
      </w:r>
      <w:r w:rsidR="00A2434D" w:rsidRPr="005E762C">
        <w:t>ss is conducted during the meal</w:t>
      </w:r>
    </w:p>
    <w:p w14:paraId="31663864" w14:textId="77777777" w:rsidR="00543F83" w:rsidRPr="005E762C" w:rsidRDefault="00543F83" w:rsidP="00543F83">
      <w:pPr>
        <w:pStyle w:val="ListBullet"/>
        <w:numPr>
          <w:ilvl w:val="0"/>
          <w:numId w:val="0"/>
        </w:numPr>
      </w:pPr>
    </w:p>
    <w:p w14:paraId="398E1D3C" w14:textId="77777777" w:rsidR="00446533" w:rsidRPr="005E762C" w:rsidRDefault="00446533" w:rsidP="00543F83">
      <w:pPr>
        <w:pStyle w:val="ListBullet"/>
        <w:numPr>
          <w:ilvl w:val="0"/>
          <w:numId w:val="0"/>
        </w:numPr>
      </w:pPr>
      <w:r w:rsidRPr="005E762C">
        <w:t>For working meals to be eligible hospitality expenses, they must also:</w:t>
      </w:r>
    </w:p>
    <w:p w14:paraId="1C045686" w14:textId="77777777" w:rsidR="00446533" w:rsidRPr="005E762C" w:rsidRDefault="00446533" w:rsidP="00BC3CBC">
      <w:pPr>
        <w:pStyle w:val="ListBullet"/>
        <w:numPr>
          <w:ilvl w:val="0"/>
          <w:numId w:val="27"/>
        </w:numPr>
      </w:pPr>
      <w:r w:rsidRPr="005E762C">
        <w:t xml:space="preserve">be consumed at the work or meeting location </w:t>
      </w:r>
    </w:p>
    <w:p w14:paraId="6D781058" w14:textId="77777777" w:rsidR="00446533" w:rsidRPr="005E762C" w:rsidRDefault="00446533" w:rsidP="00BC3CBC">
      <w:pPr>
        <w:pStyle w:val="ListBullet"/>
        <w:numPr>
          <w:ilvl w:val="0"/>
          <w:numId w:val="27"/>
        </w:numPr>
      </w:pPr>
      <w:r w:rsidRPr="005E762C">
        <w:t xml:space="preserve">not occur regularly </w:t>
      </w:r>
    </w:p>
    <w:p w14:paraId="3217EC9E" w14:textId="77777777" w:rsidR="00446533" w:rsidRPr="005E762C" w:rsidRDefault="00007308" w:rsidP="00BC3CBC">
      <w:pPr>
        <w:pStyle w:val="ListBullet"/>
        <w:numPr>
          <w:ilvl w:val="0"/>
          <w:numId w:val="27"/>
        </w:numPr>
      </w:pPr>
      <w:r w:rsidRPr="005E762C">
        <w:t xml:space="preserve">be </w:t>
      </w:r>
      <w:r w:rsidR="00446533" w:rsidRPr="005E762C">
        <w:t>simple meals such as sandwiches, fruit and tea and coffee or a light luncheon when appropriate.</w:t>
      </w:r>
    </w:p>
    <w:p w14:paraId="5ADD2B8F" w14:textId="77777777" w:rsidR="00446533" w:rsidRPr="005E762C" w:rsidRDefault="00446533" w:rsidP="00A2434D">
      <w:pPr>
        <w:pStyle w:val="Heading3notnumbered"/>
      </w:pPr>
      <w:r w:rsidRPr="005E762C">
        <w:t>Business Meetings</w:t>
      </w:r>
    </w:p>
    <w:p w14:paraId="71DCF5B2" w14:textId="77777777" w:rsidR="00446533" w:rsidRPr="005E762C" w:rsidRDefault="00446533" w:rsidP="00446533">
      <w:pPr>
        <w:pStyle w:val="BodyText"/>
      </w:pPr>
      <w:r w:rsidRPr="005E762C">
        <w:t>An external working meal may be regarded as official hospitality if you are engaged in current negotiations with a commercial organisation concerning a transaction which will further the interests of the SRO. The venue and the amount of expenditure must be appropriate for the significance of the transaction and the status of the people involved. In these cases, specific approval must be given by the Commissioner, Executive Director Corporate Services or the CFO.</w:t>
      </w:r>
    </w:p>
    <w:p w14:paraId="44CAAB52" w14:textId="77777777" w:rsidR="00446533" w:rsidRPr="005E762C" w:rsidRDefault="00446533" w:rsidP="00A2434D">
      <w:pPr>
        <w:pStyle w:val="Heading3notnumbered"/>
      </w:pPr>
      <w:r w:rsidRPr="005E762C">
        <w:t>General Hospitality</w:t>
      </w:r>
    </w:p>
    <w:p w14:paraId="2E1B33CB" w14:textId="77777777" w:rsidR="00446533" w:rsidRPr="005E762C" w:rsidRDefault="00446533" w:rsidP="00446533">
      <w:pPr>
        <w:pStyle w:val="BodyText"/>
      </w:pPr>
      <w:r w:rsidRPr="005E762C">
        <w:t>You may only use funds for hospitality when you are entertaining people who are external to the SRO and who are helping to conduct public business either by advising or performing services, or because of their vocational or busi</w:t>
      </w:r>
      <w:r w:rsidR="00A2434D" w:rsidRPr="005E762C">
        <w:t>ness interests.</w:t>
      </w:r>
    </w:p>
    <w:p w14:paraId="649EC5C4" w14:textId="77777777" w:rsidR="00446533" w:rsidRPr="005E762C" w:rsidRDefault="00446533" w:rsidP="00446533">
      <w:pPr>
        <w:pStyle w:val="BodyText"/>
      </w:pPr>
      <w:r w:rsidRPr="005E762C">
        <w:t>In all of the following cases you need to consider the necessity of the hospitality expenditure. When the expenditure is considered necessary, it should only be moderate and you should exercise proper judgment in light of the particular circumstances.</w:t>
      </w:r>
    </w:p>
    <w:p w14:paraId="3A15D3EF" w14:textId="77777777" w:rsidR="00446533" w:rsidRPr="005E762C" w:rsidRDefault="00446533" w:rsidP="00BC3CBC">
      <w:pPr>
        <w:pStyle w:val="ListBullet"/>
        <w:numPr>
          <w:ilvl w:val="0"/>
          <w:numId w:val="28"/>
        </w:numPr>
      </w:pPr>
      <w:r w:rsidRPr="005E762C">
        <w:t xml:space="preserve">If the SRO is hosting guests, hospitality may be provided for these visitors. Normally the visitors would only be entertained on one occasion during a visit, but additional entertainment may be appropriate in certain circumstances, such as an extended stay in Victoria. </w:t>
      </w:r>
    </w:p>
    <w:p w14:paraId="72704898" w14:textId="77777777" w:rsidR="00446533" w:rsidRPr="005E762C" w:rsidRDefault="00446533" w:rsidP="00BC3CBC">
      <w:pPr>
        <w:pStyle w:val="ListBullet"/>
        <w:numPr>
          <w:ilvl w:val="0"/>
          <w:numId w:val="28"/>
        </w:numPr>
      </w:pPr>
      <w:r w:rsidRPr="005E762C">
        <w:t>The Commissioner, Executive Director Corporate Services or the CFO may authorise a</w:t>
      </w:r>
      <w:r w:rsidR="00B624E9" w:rsidRPr="005E762C">
        <w:t>n</w:t>
      </w:r>
      <w:r w:rsidRPr="005E762C">
        <w:t xml:space="preserve"> </w:t>
      </w:r>
      <w:r w:rsidR="00B624E9" w:rsidRPr="005E762C">
        <w:t>employee</w:t>
      </w:r>
      <w:r w:rsidRPr="005E762C">
        <w:t xml:space="preserve"> on an official Government business trip to return reasonable hospitality to members of the host organisation. </w:t>
      </w:r>
    </w:p>
    <w:p w14:paraId="589DE814" w14:textId="77777777" w:rsidR="00446533" w:rsidRPr="005E762C" w:rsidRDefault="00446533" w:rsidP="00BC3CBC">
      <w:pPr>
        <w:pStyle w:val="ListBullet"/>
        <w:numPr>
          <w:ilvl w:val="0"/>
          <w:numId w:val="28"/>
        </w:numPr>
      </w:pPr>
      <w:r w:rsidRPr="005E762C">
        <w:t>Expenditure for hospitality to a visiting speaker is considered acceptable. Hospitality expenditure may be used for the purchase of minor gifts for protocol or public relations reasons.</w:t>
      </w:r>
    </w:p>
    <w:p w14:paraId="3CDD20A8" w14:textId="77777777" w:rsidR="00446533" w:rsidRPr="005E762C" w:rsidRDefault="00446533" w:rsidP="00A2434D">
      <w:pPr>
        <w:pStyle w:val="Heading3notnumbered"/>
      </w:pPr>
      <w:r w:rsidRPr="005E762C">
        <w:t>Official Functions</w:t>
      </w:r>
    </w:p>
    <w:p w14:paraId="0A3A9B43" w14:textId="77777777" w:rsidR="00446533" w:rsidRPr="005E762C" w:rsidRDefault="00446533" w:rsidP="00446533">
      <w:pPr>
        <w:pStyle w:val="BodyText"/>
      </w:pPr>
      <w:r w:rsidRPr="005E762C">
        <w:t xml:space="preserve">Official SRO functions should only be attended by </w:t>
      </w:r>
      <w:r w:rsidR="00B624E9" w:rsidRPr="005E762C">
        <w:t>employees</w:t>
      </w:r>
      <w:r w:rsidRPr="005E762C">
        <w:t xml:space="preserve"> that are likely to advance public business. </w:t>
      </w:r>
    </w:p>
    <w:p w14:paraId="0562FEBC" w14:textId="77777777" w:rsidR="00446533" w:rsidRPr="005E762C" w:rsidRDefault="00446533" w:rsidP="00446533">
      <w:pPr>
        <w:pStyle w:val="BodyText"/>
      </w:pPr>
      <w:r w:rsidRPr="005E762C">
        <w:t xml:space="preserve">The number of SRO </w:t>
      </w:r>
      <w:r w:rsidR="00B624E9" w:rsidRPr="005E762C">
        <w:t>employees</w:t>
      </w:r>
      <w:r w:rsidRPr="005E762C">
        <w:t xml:space="preserve"> attending large functions should normally be fewer than the external attendees. If a meal is included as part of an official function, SRO </w:t>
      </w:r>
      <w:r w:rsidR="00B624E9" w:rsidRPr="005E762C">
        <w:t>employees</w:t>
      </w:r>
      <w:r w:rsidRPr="005E762C">
        <w:t xml:space="preserve"> must not receive an additional allowance for meal money.</w:t>
      </w:r>
    </w:p>
    <w:p w14:paraId="41D317E9" w14:textId="77777777" w:rsidR="00446533" w:rsidRPr="005E762C" w:rsidRDefault="00446533" w:rsidP="00A2434D">
      <w:pPr>
        <w:pStyle w:val="Heading3notnumbered"/>
      </w:pPr>
      <w:r w:rsidRPr="005E762C">
        <w:t>Unacceptable Hospitality Expenditure</w:t>
      </w:r>
    </w:p>
    <w:p w14:paraId="5A492687" w14:textId="77777777" w:rsidR="00446533" w:rsidRPr="005E762C" w:rsidRDefault="00446533" w:rsidP="00446533">
      <w:pPr>
        <w:pStyle w:val="BodyText"/>
      </w:pPr>
      <w:r w:rsidRPr="005E762C">
        <w:t xml:space="preserve">The following examples are considered unacceptable hospitality expenditure and cannot be made from public funds: </w:t>
      </w:r>
    </w:p>
    <w:p w14:paraId="4357DD90" w14:textId="77777777" w:rsidR="00446533" w:rsidRPr="005E762C" w:rsidRDefault="00446533" w:rsidP="00BC3CBC">
      <w:pPr>
        <w:pStyle w:val="ListBullet"/>
        <w:numPr>
          <w:ilvl w:val="0"/>
          <w:numId w:val="29"/>
        </w:numPr>
      </w:pPr>
      <w:r w:rsidRPr="005E762C">
        <w:t>lunches or morning and afternoon teas (in-house or external) for instance to farewell staff or celebrate birthdays</w:t>
      </w:r>
    </w:p>
    <w:p w14:paraId="1CDBB2F5" w14:textId="77777777" w:rsidR="00446533" w:rsidRPr="005E762C" w:rsidRDefault="00446533" w:rsidP="00BC3CBC">
      <w:pPr>
        <w:pStyle w:val="ListBullet"/>
        <w:numPr>
          <w:ilvl w:val="0"/>
          <w:numId w:val="29"/>
        </w:numPr>
      </w:pPr>
      <w:r w:rsidRPr="005E762C">
        <w:t>food and drink supplied at staff functions</w:t>
      </w:r>
    </w:p>
    <w:p w14:paraId="336D2C15" w14:textId="77777777" w:rsidR="00446533" w:rsidRPr="005E762C" w:rsidRDefault="00446533" w:rsidP="00BC3CBC">
      <w:pPr>
        <w:pStyle w:val="ListBullet"/>
        <w:numPr>
          <w:ilvl w:val="0"/>
          <w:numId w:val="29"/>
        </w:numPr>
      </w:pPr>
      <w:r w:rsidRPr="005E762C">
        <w:t xml:space="preserve">the supply of alcoholic drinks at staff functions </w:t>
      </w:r>
    </w:p>
    <w:p w14:paraId="7E40FB9D" w14:textId="77777777" w:rsidR="00446533" w:rsidRPr="005E762C" w:rsidRDefault="00446533" w:rsidP="00BC3CBC">
      <w:pPr>
        <w:pStyle w:val="ListBullet"/>
        <w:numPr>
          <w:ilvl w:val="0"/>
          <w:numId w:val="29"/>
        </w:numPr>
      </w:pPr>
      <w:r w:rsidRPr="005E762C">
        <w:t>prizes at staff functions</w:t>
      </w:r>
    </w:p>
    <w:p w14:paraId="1E01BC02" w14:textId="77777777" w:rsidR="00446533" w:rsidRPr="005E762C" w:rsidRDefault="00446533" w:rsidP="00BC3CBC">
      <w:pPr>
        <w:pStyle w:val="ListBullet"/>
        <w:numPr>
          <w:ilvl w:val="0"/>
          <w:numId w:val="29"/>
        </w:numPr>
      </w:pPr>
      <w:r w:rsidRPr="005E762C">
        <w:t>membership f</w:t>
      </w:r>
      <w:r w:rsidR="00A2434D" w:rsidRPr="005E762C">
        <w:t>ees of clubs and organisations.</w:t>
      </w:r>
    </w:p>
    <w:p w14:paraId="439669E0" w14:textId="77777777" w:rsidR="00446533" w:rsidRPr="005E762C" w:rsidRDefault="00446533" w:rsidP="00A2434D">
      <w:pPr>
        <w:pStyle w:val="Heading3notnumbered"/>
      </w:pPr>
      <w:r w:rsidRPr="005E762C">
        <w:t>Alcohol</w:t>
      </w:r>
    </w:p>
    <w:p w14:paraId="7C688559" w14:textId="567073E7" w:rsidR="00446533" w:rsidRPr="005E762C" w:rsidRDefault="00446533" w:rsidP="00446533">
      <w:pPr>
        <w:pStyle w:val="BodyText"/>
      </w:pPr>
      <w:r w:rsidRPr="005E762C">
        <w:t xml:space="preserve">Subject to the purpose of the event being for a legitimate official purpose, alcohol may be supplied for consumption provided that its provision does not contravene extant liquor laws, and is in compliance with the requirements of </w:t>
      </w:r>
      <w:r w:rsidRPr="00793815">
        <w:t xml:space="preserve">the </w:t>
      </w:r>
      <w:hyperlink r:id="rId18" w:history="1">
        <w:r w:rsidRPr="004A1BF4">
          <w:rPr>
            <w:rStyle w:val="Hyperlink"/>
          </w:rPr>
          <w:t>Occupational Health and Safety Act 2004</w:t>
        </w:r>
      </w:hyperlink>
      <w:r w:rsidRPr="00793815">
        <w:t xml:space="preserve"> and the</w:t>
      </w:r>
      <w:hyperlink r:id="rId19" w:history="1">
        <w:r w:rsidRPr="00793815">
          <w:rPr>
            <w:rStyle w:val="Hyperlink"/>
          </w:rPr>
          <w:t xml:space="preserve"> </w:t>
        </w:r>
        <w:r w:rsidRPr="004A1BF4">
          <w:rPr>
            <w:rStyle w:val="Hyperlink"/>
          </w:rPr>
          <w:t>Liquor Control (Reform) Act 1998</w:t>
        </w:r>
      </w:hyperlink>
      <w:r w:rsidRPr="00793815">
        <w:t>, and 'best practi</w:t>
      </w:r>
      <w:r w:rsidRPr="005E762C">
        <w:t xml:space="preserve">ce' as represented by the Liquor Licensing Commission's guidelines for the </w:t>
      </w:r>
      <w:r w:rsidR="00A2434D" w:rsidRPr="005E762C">
        <w:t>Responsible Serving of Alcohol.</w:t>
      </w:r>
    </w:p>
    <w:p w14:paraId="50D09267" w14:textId="77777777" w:rsidR="00446533" w:rsidRPr="005E762C" w:rsidRDefault="00446533" w:rsidP="00446533">
      <w:pPr>
        <w:pStyle w:val="BodyText"/>
      </w:pPr>
      <w:r w:rsidRPr="005E762C">
        <w:t>The supply of alcohol for consumption at inter- and intra-Departmental activities must be considered on</w:t>
      </w:r>
      <w:r w:rsidR="00007308" w:rsidRPr="005E762C">
        <w:t xml:space="preserve"> an</w:t>
      </w:r>
      <w:r w:rsidRPr="005E762C">
        <w:t xml:space="preserve"> individual case-by-case bas</w:t>
      </w:r>
      <w:r w:rsidR="00007308" w:rsidRPr="005E762C">
        <w:t>is</w:t>
      </w:r>
      <w:r w:rsidRPr="005E762C">
        <w:t xml:space="preserve">, and </w:t>
      </w:r>
      <w:r w:rsidR="00007308" w:rsidRPr="005E762C">
        <w:t xml:space="preserve">is </w:t>
      </w:r>
      <w:r w:rsidRPr="005E762C">
        <w:t>subject to the approval of the Commissioner, Executive Director Corporate Services or the CFO. At any particular event, the SRO will provide alcohol for consumption at responsible levels (for catering purposes, this will be at an average of no more than three standard drinks per person).</w:t>
      </w:r>
    </w:p>
    <w:p w14:paraId="6C8D68FC" w14:textId="77777777" w:rsidR="00446533" w:rsidRPr="005E762C" w:rsidRDefault="00446533" w:rsidP="00A2434D">
      <w:pPr>
        <w:pStyle w:val="Heading3notnumbered"/>
      </w:pPr>
      <w:r w:rsidRPr="005E762C">
        <w:t>Fringe Benefits Tax</w:t>
      </w:r>
    </w:p>
    <w:p w14:paraId="08017726" w14:textId="77777777" w:rsidR="00446533" w:rsidRPr="005E762C" w:rsidRDefault="00446533" w:rsidP="00446533">
      <w:pPr>
        <w:pStyle w:val="BodyText"/>
      </w:pPr>
      <w:r w:rsidRPr="005E762C">
        <w:t xml:space="preserve">Expenditure on hospitality may be subject to Fringe Benefits Tax (FBT). SRO </w:t>
      </w:r>
      <w:r w:rsidR="00B624E9" w:rsidRPr="005E762C">
        <w:t>employees</w:t>
      </w:r>
      <w:r w:rsidRPr="005E762C">
        <w:t xml:space="preserve"> should endeavour to minimise this liability. Finance &amp; Administration can provide advice of FBT implications prior to incurring expenditure.</w:t>
      </w:r>
    </w:p>
    <w:p w14:paraId="3B4499FD" w14:textId="77777777" w:rsidR="00446533" w:rsidRPr="005E762C" w:rsidRDefault="00446533" w:rsidP="00A2434D">
      <w:pPr>
        <w:pStyle w:val="Heading3notnumbered"/>
      </w:pPr>
      <w:r w:rsidRPr="005E762C">
        <w:t>Approval</w:t>
      </w:r>
    </w:p>
    <w:p w14:paraId="51D446B1" w14:textId="77777777" w:rsidR="00446533" w:rsidRPr="005E762C" w:rsidRDefault="00446533" w:rsidP="00446533">
      <w:pPr>
        <w:pStyle w:val="BodyText"/>
      </w:pPr>
      <w:r w:rsidRPr="005E762C">
        <w:t xml:space="preserve">Hospitality expenditure must be signed and approved by the Commissioner, Executive Director Corporate Services or CFO prior to committing funds. </w:t>
      </w:r>
    </w:p>
    <w:p w14:paraId="57A8CE97" w14:textId="77777777" w:rsidR="00446533" w:rsidRPr="005E762C" w:rsidRDefault="00446533" w:rsidP="00446533">
      <w:pPr>
        <w:pStyle w:val="BodyText"/>
      </w:pPr>
      <w:r w:rsidRPr="005E762C">
        <w:t xml:space="preserve">Refer to the SRO Hospitality Procedure for approval and Finance requirements </w:t>
      </w:r>
    </w:p>
    <w:p w14:paraId="020A4BFA" w14:textId="77777777" w:rsidR="00446533" w:rsidRPr="005E762C" w:rsidRDefault="00446533" w:rsidP="00A2434D">
      <w:pPr>
        <w:pStyle w:val="Heading3notnumbered"/>
      </w:pPr>
      <w:r w:rsidRPr="005E762C">
        <w:t>Breaches</w:t>
      </w:r>
    </w:p>
    <w:p w14:paraId="6011767B" w14:textId="77777777" w:rsidR="00446533" w:rsidRPr="005E762C" w:rsidRDefault="00446533" w:rsidP="00446533">
      <w:pPr>
        <w:pStyle w:val="BodyText"/>
      </w:pPr>
      <w:r w:rsidRPr="005E762C">
        <w:t>A breach of this policy may constitute misconduct and may result in disciplinary action. Disciplinary action may include termination of employment.</w:t>
      </w:r>
    </w:p>
    <w:p w14:paraId="18FB4386" w14:textId="6F6E475C" w:rsidR="00446533" w:rsidRPr="00793815" w:rsidRDefault="00446533" w:rsidP="00446533">
      <w:pPr>
        <w:pStyle w:val="BodyText"/>
      </w:pPr>
      <w:r w:rsidRPr="00793815">
        <w:t xml:space="preserve">Any allegation regarding a breach of this policy will be managed in accordance with the </w:t>
      </w:r>
      <w:r w:rsidRPr="004A1BF4">
        <w:t>SRO Managing Misconduct P</w:t>
      </w:r>
      <w:r w:rsidR="00007308" w:rsidRPr="004A1BF4">
        <w:t>rocedure</w:t>
      </w:r>
      <w:r w:rsidR="00BC3CBC" w:rsidRPr="004A1BF4">
        <w:t>.</w:t>
      </w:r>
    </w:p>
    <w:p w14:paraId="7A5A394D" w14:textId="77777777" w:rsidR="00446533" w:rsidRPr="00793815" w:rsidRDefault="00446533" w:rsidP="00446533">
      <w:pPr>
        <w:pStyle w:val="BodyText"/>
      </w:pPr>
      <w:r w:rsidRPr="00793815">
        <w:t xml:space="preserve">The SRO will communicate its policy on the offering and provision of gifts, benefits and hospitality to contractors, consultants and other business associates. Those identified as acting inconsistently with this policy may be subject to contract re-negotiation, including termination. </w:t>
      </w:r>
    </w:p>
    <w:p w14:paraId="72554611" w14:textId="1DBD4F56" w:rsidR="00446533" w:rsidRPr="005E762C" w:rsidRDefault="00446533" w:rsidP="00446533">
      <w:pPr>
        <w:pStyle w:val="BodyText"/>
      </w:pPr>
      <w:r w:rsidRPr="00793815">
        <w:t xml:space="preserve">An SRO Worker’s failure to avoid wherever possible or identify, declare and manage a conflict of interest in accordance with this policy could lead to disciplinary action including dismissal </w:t>
      </w:r>
      <w:r w:rsidRPr="004A1BF4">
        <w:t xml:space="preserve">(consistent with the </w:t>
      </w:r>
      <w:r w:rsidR="00BC3CBC" w:rsidRPr="004A1BF4">
        <w:t xml:space="preserve">current </w:t>
      </w:r>
      <w:r w:rsidRPr="004A1BF4">
        <w:t>Agreement</w:t>
      </w:r>
      <w:r w:rsidR="00BC3CBC" w:rsidRPr="004A1BF4">
        <w:t xml:space="preserve"> </w:t>
      </w:r>
      <w:r w:rsidRPr="004A1BF4">
        <w:t>and legislation</w:t>
      </w:r>
      <w:r w:rsidRPr="00793815">
        <w:t>). Contractors may be</w:t>
      </w:r>
      <w:r w:rsidRPr="005E762C">
        <w:t xml:space="preserve"> subject to contract re-negotiation, including termination.</w:t>
      </w:r>
    </w:p>
    <w:p w14:paraId="4C6DE732" w14:textId="77777777" w:rsidR="00446533" w:rsidRPr="005E762C" w:rsidRDefault="00446533" w:rsidP="00A2434D">
      <w:pPr>
        <w:pStyle w:val="Heading3notnumbered"/>
      </w:pPr>
      <w:r w:rsidRPr="005E762C">
        <w:t>Notification of suspected breaches</w:t>
      </w:r>
    </w:p>
    <w:p w14:paraId="64387540" w14:textId="77777777" w:rsidR="00E1373D" w:rsidRDefault="00E1373D" w:rsidP="00E1373D">
      <w:pPr>
        <w:pStyle w:val="BodyText"/>
      </w:pPr>
      <w:r>
        <w:t xml:space="preserve">Any </w:t>
      </w:r>
      <w:r w:rsidR="00446533" w:rsidRPr="005E762C">
        <w:t xml:space="preserve">SRO Workers who consider that gifts, benefits and hospitality or </w:t>
      </w:r>
      <w:r w:rsidR="00007308" w:rsidRPr="005E762C">
        <w:t xml:space="preserve">a </w:t>
      </w:r>
      <w:r w:rsidR="00446533" w:rsidRPr="005E762C">
        <w:t xml:space="preserve">conflict of interest within the SRO may not have been declared or </w:t>
      </w:r>
      <w:r w:rsidR="00007308" w:rsidRPr="005E762C">
        <w:t xml:space="preserve">is </w:t>
      </w:r>
      <w:r w:rsidR="00446533" w:rsidRPr="005E762C">
        <w:t>not being appropriately managed should notify their manager or the manager of the party concerned.</w:t>
      </w:r>
      <w:r w:rsidRPr="00E1373D">
        <w:t xml:space="preserve"> </w:t>
      </w:r>
    </w:p>
    <w:p w14:paraId="3538D232" w14:textId="3FE58BFE" w:rsidR="00E1373D" w:rsidRDefault="00E1373D" w:rsidP="00E1373D">
      <w:pPr>
        <w:pStyle w:val="BodyText"/>
      </w:pPr>
      <w:r>
        <w:t xml:space="preserve">In accordance with the VPSC Managing Misconduct Policy, the SRO Managing Misconduct Procedure and this policy, any worker who speaks up in good faith will be protected from discrimination or victimisation. SRO will take decisive action including possible discipline action against anyone who discriminates or victimises a worker speaking up in good faith. </w:t>
      </w:r>
    </w:p>
    <w:p w14:paraId="2F4B4E18" w14:textId="5FE49B1C" w:rsidR="00F121F5" w:rsidRPr="005E762C" w:rsidRDefault="00644551" w:rsidP="004B7FE1">
      <w:pPr>
        <w:pStyle w:val="BodyText"/>
      </w:pPr>
      <w:r>
        <w:rPr>
          <w:noProof/>
        </w:rPr>
        <w:pict w14:anchorId="5BC49F0B">
          <v:rect id="_x0000_i1025" alt="" style="width:481.9pt;height:.05pt;mso-width-percent:0;mso-height-percent:0;mso-width-percent:0;mso-height-percent:0" o:hralign="center" o:hrstd="t" o:hr="t" fillcolor="#aaa" stroked="f"/>
        </w:pict>
      </w:r>
    </w:p>
    <w:p w14:paraId="76FFBBE4" w14:textId="77777777" w:rsidR="006D56CE" w:rsidRPr="005E762C" w:rsidRDefault="006D56CE" w:rsidP="00CE3F47">
      <w:pPr>
        <w:pStyle w:val="Heading1notnumbered"/>
      </w:pPr>
      <w:r w:rsidRPr="005E762C">
        <w:t>Definitions</w:t>
      </w:r>
    </w:p>
    <w:tbl>
      <w:tblPr>
        <w:tblStyle w:val="SROTABLE"/>
        <w:tblpPr w:leftFromText="181" w:rightFromText="181" w:bottomFromText="284" w:vertAnchor="text" w:tblpX="80" w:tblpY="1"/>
        <w:tblOverlap w:val="never"/>
        <w:tblW w:w="9736" w:type="dxa"/>
        <w:tblInd w:w="0" w:type="dxa"/>
        <w:tblBorders>
          <w:bottom w:val="none" w:sz="0" w:space="0" w:color="auto"/>
        </w:tblBorders>
        <w:tblLayout w:type="fixed"/>
        <w:tblCellMar>
          <w:top w:w="34" w:type="dxa"/>
        </w:tblCellMar>
        <w:tblLook w:val="00A0" w:firstRow="1" w:lastRow="0" w:firstColumn="1" w:lastColumn="0" w:noHBand="0" w:noVBand="0"/>
      </w:tblPr>
      <w:tblGrid>
        <w:gridCol w:w="9736"/>
      </w:tblGrid>
      <w:tr w:rsidR="00451D27" w:rsidRPr="005E762C" w14:paraId="3CEFB0B4" w14:textId="77777777" w:rsidTr="008860B2">
        <w:trPr>
          <w:cnfStyle w:val="100000000000" w:firstRow="1" w:lastRow="0" w:firstColumn="0" w:lastColumn="0" w:oddVBand="0" w:evenVBand="0" w:oddHBand="0" w:evenHBand="0" w:firstRowFirstColumn="0" w:firstRowLastColumn="0" w:lastRowFirstColumn="0" w:lastRowLastColumn="0"/>
          <w:tblHeader/>
        </w:trPr>
        <w:tc>
          <w:tcPr>
            <w:tcW w:w="5000" w:type="pct"/>
          </w:tcPr>
          <w:p w14:paraId="4BD81D7A" w14:textId="77777777" w:rsidR="00451D27" w:rsidRPr="004A1BF4" w:rsidRDefault="00451D27" w:rsidP="00451D27">
            <w:pPr>
              <w:pStyle w:val="ColumnHeading"/>
              <w:jc w:val="both"/>
              <w:rPr>
                <w:lang w:val="en-AU"/>
              </w:rPr>
            </w:pPr>
            <w:r w:rsidRPr="005E762C">
              <w:t>definitions included in this document</w:t>
            </w:r>
          </w:p>
        </w:tc>
      </w:tr>
    </w:tbl>
    <w:tbl>
      <w:tblPr>
        <w:tblStyle w:val="SROTABLE"/>
        <w:tblW w:w="0" w:type="auto"/>
        <w:tblCellMar>
          <w:top w:w="34" w:type="dxa"/>
        </w:tblCellMar>
        <w:tblLook w:val="04A0" w:firstRow="1" w:lastRow="0" w:firstColumn="1" w:lastColumn="0" w:noHBand="0" w:noVBand="1"/>
      </w:tblPr>
      <w:tblGrid>
        <w:gridCol w:w="2074"/>
        <w:gridCol w:w="7451"/>
      </w:tblGrid>
      <w:tr w:rsidR="00F81642" w:rsidRPr="005E762C" w14:paraId="376DCA68" w14:textId="77777777" w:rsidTr="00137D2F">
        <w:trPr>
          <w:cnfStyle w:val="100000000000" w:firstRow="1" w:lastRow="0" w:firstColumn="0" w:lastColumn="0" w:oddVBand="0" w:evenVBand="0" w:oddHBand="0" w:evenHBand="0" w:firstRowFirstColumn="0" w:firstRowLastColumn="0" w:lastRowFirstColumn="0" w:lastRowLastColumn="0"/>
        </w:trPr>
        <w:tc>
          <w:tcPr>
            <w:tcW w:w="2099" w:type="dxa"/>
          </w:tcPr>
          <w:p w14:paraId="525ACBFF" w14:textId="77777777" w:rsidR="00F81642" w:rsidRPr="004A1BF4" w:rsidRDefault="00F81642" w:rsidP="00F81642">
            <w:pPr>
              <w:pStyle w:val="ColumnHeading"/>
              <w:rPr>
                <w:lang w:val="en-AU"/>
              </w:rPr>
            </w:pPr>
            <w:r w:rsidRPr="005E762C">
              <w:t>ACRONYM</w:t>
            </w:r>
          </w:p>
        </w:tc>
        <w:tc>
          <w:tcPr>
            <w:tcW w:w="7596" w:type="dxa"/>
          </w:tcPr>
          <w:p w14:paraId="0050D0FB" w14:textId="77777777" w:rsidR="00F81642" w:rsidRPr="004A1BF4" w:rsidRDefault="00F81642" w:rsidP="00F81642">
            <w:pPr>
              <w:pStyle w:val="ColumnHeading"/>
              <w:rPr>
                <w:lang w:val="en-AU"/>
              </w:rPr>
            </w:pPr>
            <w:r w:rsidRPr="005E762C">
              <w:t>Definition</w:t>
            </w:r>
          </w:p>
        </w:tc>
      </w:tr>
      <w:tr w:rsidR="00424127" w:rsidRPr="005E762C" w14:paraId="08C081DA" w14:textId="77777777" w:rsidTr="00424127">
        <w:tblPrEx>
          <w:tblCellMar>
            <w:top w:w="57" w:type="dxa"/>
          </w:tblCellMar>
        </w:tblPrEx>
        <w:tc>
          <w:tcPr>
            <w:tcW w:w="2099" w:type="dxa"/>
          </w:tcPr>
          <w:p w14:paraId="09FACB7B" w14:textId="77777777" w:rsidR="00424127" w:rsidRPr="004A1BF4" w:rsidRDefault="00424127" w:rsidP="00424127">
            <w:pPr>
              <w:pStyle w:val="TableText"/>
              <w:rPr>
                <w:rStyle w:val="Bold"/>
                <w:lang w:val="en-AU"/>
              </w:rPr>
            </w:pPr>
            <w:r w:rsidRPr="005E762C">
              <w:rPr>
                <w:rStyle w:val="Bold"/>
              </w:rPr>
              <w:t>Business Associate</w:t>
            </w:r>
          </w:p>
        </w:tc>
        <w:tc>
          <w:tcPr>
            <w:tcW w:w="7596" w:type="dxa"/>
          </w:tcPr>
          <w:p w14:paraId="755CEB6C" w14:textId="77777777" w:rsidR="00424127" w:rsidRPr="004A1BF4" w:rsidRDefault="00424127" w:rsidP="00424127">
            <w:pPr>
              <w:pStyle w:val="TableText"/>
              <w:rPr>
                <w:lang w:val="en-AU"/>
              </w:rPr>
            </w:pPr>
            <w:r w:rsidRPr="005E762C">
              <w:t>An external individual or entity which the organisation has, or plans to establish, some form of business relationship, or who may seek commercial or other advantage by offering gifts, benefits or hospitality.</w:t>
            </w:r>
          </w:p>
        </w:tc>
      </w:tr>
      <w:tr w:rsidR="00424127" w:rsidRPr="005E762C" w14:paraId="23E1E1A7"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5C424629" w14:textId="77777777" w:rsidR="00424127" w:rsidRPr="004A1BF4" w:rsidRDefault="00424127" w:rsidP="00424127">
            <w:pPr>
              <w:pStyle w:val="TableText"/>
              <w:rPr>
                <w:rStyle w:val="Bold"/>
                <w:lang w:val="en-AU"/>
              </w:rPr>
            </w:pPr>
            <w:r w:rsidRPr="005E762C">
              <w:rPr>
                <w:rStyle w:val="Bold"/>
              </w:rPr>
              <w:t>Benefits</w:t>
            </w:r>
          </w:p>
        </w:tc>
        <w:tc>
          <w:tcPr>
            <w:tcW w:w="7596" w:type="dxa"/>
          </w:tcPr>
          <w:p w14:paraId="758A750C" w14:textId="77777777" w:rsidR="00424127" w:rsidRPr="004A1BF4" w:rsidRDefault="00424127" w:rsidP="00424127">
            <w:pPr>
              <w:pStyle w:val="TableText"/>
              <w:rPr>
                <w:lang w:val="en-AU"/>
              </w:rPr>
            </w:pPr>
            <w:r w:rsidRPr="005E762C">
              <w:t>Include preferential treatment, privileged access, favours or other advantage offered to an individual. They may include invitations to sporting, cultural or social events, access to discounts and loyalty programs, and promises of a new job.</w:t>
            </w:r>
          </w:p>
          <w:p w14:paraId="5BB94B9D" w14:textId="77777777" w:rsidR="00424127" w:rsidRPr="004A1BF4" w:rsidRDefault="00424127" w:rsidP="00424127">
            <w:pPr>
              <w:pStyle w:val="TableText"/>
              <w:rPr>
                <w:lang w:val="en-AU"/>
              </w:rPr>
            </w:pPr>
          </w:p>
          <w:p w14:paraId="6E96A26B" w14:textId="77777777" w:rsidR="00424127" w:rsidRPr="004A1BF4" w:rsidRDefault="00424127" w:rsidP="00424127">
            <w:pPr>
              <w:pStyle w:val="TableText"/>
              <w:rPr>
                <w:lang w:val="en-AU"/>
              </w:rPr>
            </w:pPr>
            <w:r w:rsidRPr="005E762C">
              <w:t>The value of benefits may be difficult to define in dollars, but as they are valued by the individual, they may be used to influence the individual’s behaviour.</w:t>
            </w:r>
          </w:p>
        </w:tc>
      </w:tr>
      <w:tr w:rsidR="00424127" w:rsidRPr="005E762C" w14:paraId="50FC8F1E" w14:textId="77777777" w:rsidTr="00424127">
        <w:tblPrEx>
          <w:tblCellMar>
            <w:top w:w="57" w:type="dxa"/>
          </w:tblCellMar>
        </w:tblPrEx>
        <w:tc>
          <w:tcPr>
            <w:tcW w:w="2099" w:type="dxa"/>
          </w:tcPr>
          <w:p w14:paraId="2B9A8408" w14:textId="77777777" w:rsidR="00424127" w:rsidRPr="004A1BF4" w:rsidRDefault="00424127" w:rsidP="00424127">
            <w:pPr>
              <w:pStyle w:val="TableText"/>
              <w:rPr>
                <w:rStyle w:val="Bold"/>
                <w:lang w:val="en-AU"/>
              </w:rPr>
            </w:pPr>
            <w:r w:rsidRPr="005E762C">
              <w:rPr>
                <w:rStyle w:val="Bold"/>
              </w:rPr>
              <w:t>Ceremonial Gifts</w:t>
            </w:r>
          </w:p>
        </w:tc>
        <w:tc>
          <w:tcPr>
            <w:tcW w:w="7596" w:type="dxa"/>
          </w:tcPr>
          <w:p w14:paraId="61C801DE" w14:textId="77777777" w:rsidR="00424127" w:rsidRPr="004A1BF4" w:rsidRDefault="00424127" w:rsidP="00424127">
            <w:pPr>
              <w:pStyle w:val="TableText"/>
              <w:rPr>
                <w:lang w:val="en-AU"/>
              </w:rPr>
            </w:pPr>
            <w:r w:rsidRPr="005E762C">
              <w:t>SRO Workers may accept ceremonial gifts on behalf of the SRO.</w:t>
            </w:r>
          </w:p>
        </w:tc>
      </w:tr>
      <w:tr w:rsidR="00424127" w:rsidRPr="005E762C" w14:paraId="25DAF177"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040B5A34" w14:textId="77777777" w:rsidR="00424127" w:rsidRPr="004A1BF4" w:rsidRDefault="00424127" w:rsidP="004D7732">
            <w:pPr>
              <w:pStyle w:val="TableText"/>
              <w:rPr>
                <w:rStyle w:val="Bold"/>
                <w:lang w:val="en-AU"/>
              </w:rPr>
            </w:pPr>
            <w:r w:rsidRPr="005E762C">
              <w:rPr>
                <w:rStyle w:val="Bold"/>
              </w:rPr>
              <w:t>Conflicts of Interest</w:t>
            </w:r>
          </w:p>
          <w:p w14:paraId="42902A5F" w14:textId="77777777" w:rsidR="00424127" w:rsidRPr="004A1BF4" w:rsidRDefault="00424127" w:rsidP="00424127">
            <w:pPr>
              <w:pStyle w:val="TableText"/>
              <w:rPr>
                <w:rStyle w:val="Bold"/>
                <w:lang w:val="en-AU"/>
              </w:rPr>
            </w:pPr>
          </w:p>
          <w:p w14:paraId="2FB6622B" w14:textId="77777777" w:rsidR="00424127" w:rsidRPr="004A1BF4" w:rsidRDefault="00424127" w:rsidP="004D7732">
            <w:pPr>
              <w:pStyle w:val="TableBullet"/>
              <w:numPr>
                <w:ilvl w:val="0"/>
                <w:numId w:val="0"/>
              </w:numPr>
              <w:ind w:left="170"/>
              <w:rPr>
                <w:rStyle w:val="Bold"/>
                <w:lang w:val="en-AU"/>
              </w:rPr>
            </w:pPr>
          </w:p>
        </w:tc>
        <w:tc>
          <w:tcPr>
            <w:tcW w:w="7596" w:type="dxa"/>
          </w:tcPr>
          <w:p w14:paraId="02E0D56E" w14:textId="77777777" w:rsidR="004D7732" w:rsidRPr="004A1BF4" w:rsidRDefault="004D7732" w:rsidP="00424127">
            <w:pPr>
              <w:pStyle w:val="TableText"/>
              <w:rPr>
                <w:rStyle w:val="Bold"/>
                <w:lang w:val="en-AU"/>
              </w:rPr>
            </w:pPr>
            <w:r w:rsidRPr="005E762C">
              <w:rPr>
                <w:rStyle w:val="Bold"/>
              </w:rPr>
              <w:t>Actual conflict of interest</w:t>
            </w:r>
          </w:p>
          <w:p w14:paraId="06688D38" w14:textId="3288489C" w:rsidR="00424127" w:rsidRPr="004A1BF4" w:rsidRDefault="00424127" w:rsidP="00424127">
            <w:pPr>
              <w:pStyle w:val="TableText"/>
              <w:rPr>
                <w:lang w:val="en-AU"/>
              </w:rPr>
            </w:pPr>
            <w:r w:rsidRPr="005E762C">
              <w:t xml:space="preserve">There is a </w:t>
            </w:r>
            <w:r w:rsidRPr="005E762C">
              <w:rPr>
                <w:u w:val="single"/>
              </w:rPr>
              <w:t>real conflict</w:t>
            </w:r>
            <w:r w:rsidRPr="005E762C">
              <w:t xml:space="preserve"> between an SRO </w:t>
            </w:r>
            <w:r w:rsidR="00A46B70" w:rsidRPr="005E762C">
              <w:t>Worker’s public</w:t>
            </w:r>
            <w:r w:rsidRPr="005E762C">
              <w:t xml:space="preserve"> duties and private interests.</w:t>
            </w:r>
          </w:p>
          <w:p w14:paraId="73FE4FEB" w14:textId="315650AE" w:rsidR="00424127" w:rsidRPr="004A1BF4" w:rsidRDefault="00A46B70" w:rsidP="00424127">
            <w:pPr>
              <w:pStyle w:val="TableText"/>
              <w:rPr>
                <w:rStyle w:val="Bold"/>
                <w:lang w:val="en-AU"/>
              </w:rPr>
            </w:pPr>
            <w:r w:rsidRPr="005E762C">
              <w:rPr>
                <w:rStyle w:val="Bold"/>
              </w:rPr>
              <w:t>Nonpecuniary</w:t>
            </w:r>
            <w:r w:rsidR="004D7732" w:rsidRPr="005E762C">
              <w:rPr>
                <w:rStyle w:val="Bold"/>
              </w:rPr>
              <w:t xml:space="preserve"> interest</w:t>
            </w:r>
          </w:p>
          <w:p w14:paraId="7E4CF281" w14:textId="77777777" w:rsidR="00424127" w:rsidRPr="004A1BF4" w:rsidRDefault="00424127" w:rsidP="00424127">
            <w:pPr>
              <w:pStyle w:val="TableText"/>
              <w:rPr>
                <w:lang w:val="en-AU"/>
              </w:rPr>
            </w:pPr>
            <w:r w:rsidRPr="005E762C">
              <w:t>Do not have a financial component.  Includes a tendency toward favour or prejudice resulting from friendship, animosity, or other personal involvement with another person or group.</w:t>
            </w:r>
          </w:p>
          <w:p w14:paraId="6900316D" w14:textId="77777777" w:rsidR="004D7732" w:rsidRPr="004A1BF4" w:rsidRDefault="004D7732" w:rsidP="00424127">
            <w:pPr>
              <w:pStyle w:val="TableText"/>
              <w:rPr>
                <w:rStyle w:val="Bold"/>
                <w:lang w:val="en-AU"/>
              </w:rPr>
            </w:pPr>
            <w:r w:rsidRPr="005E762C">
              <w:rPr>
                <w:rStyle w:val="Bold"/>
              </w:rPr>
              <w:t>Pecuniary interest</w:t>
            </w:r>
          </w:p>
          <w:p w14:paraId="47751876" w14:textId="77777777" w:rsidR="00424127" w:rsidRPr="004A1BF4" w:rsidRDefault="00424127" w:rsidP="00424127">
            <w:pPr>
              <w:pStyle w:val="TableText"/>
              <w:rPr>
                <w:lang w:val="en-AU"/>
              </w:rPr>
            </w:pPr>
            <w:r w:rsidRPr="005E762C">
              <w:t>Involves an actual, potential or perceived financial gain or loss.  Does not have to involve money, may include discounts, gifts or hospitality, shares, etc.</w:t>
            </w:r>
          </w:p>
          <w:p w14:paraId="723835FD" w14:textId="77777777" w:rsidR="004D7732" w:rsidRPr="004A1BF4" w:rsidRDefault="004D7732" w:rsidP="00424127">
            <w:pPr>
              <w:pStyle w:val="TableText"/>
              <w:rPr>
                <w:rStyle w:val="Bold"/>
                <w:lang w:val="en-AU"/>
              </w:rPr>
            </w:pPr>
            <w:r w:rsidRPr="005E762C">
              <w:rPr>
                <w:rStyle w:val="Bold"/>
              </w:rPr>
              <w:t>Potential conflict of interest</w:t>
            </w:r>
          </w:p>
          <w:p w14:paraId="717C23EB" w14:textId="77777777" w:rsidR="00424127" w:rsidRPr="004A1BF4" w:rsidRDefault="00424127" w:rsidP="00424127">
            <w:pPr>
              <w:pStyle w:val="TableText"/>
              <w:rPr>
                <w:lang w:val="en-AU"/>
              </w:rPr>
            </w:pPr>
            <w:r w:rsidRPr="005E762C">
              <w:t>An SRO Worker has private interests that could conflict with their public duties. This refers to circumstances where it is foreseeable that a conflict may arise in future and steps should be taken now to mitigate that future risk.</w:t>
            </w:r>
          </w:p>
          <w:p w14:paraId="427AD5B3" w14:textId="77777777" w:rsidR="004D7732" w:rsidRPr="004A1BF4" w:rsidRDefault="004D7732" w:rsidP="004D7732">
            <w:pPr>
              <w:pStyle w:val="TableText"/>
              <w:rPr>
                <w:rStyle w:val="Bold"/>
                <w:lang w:val="en-AU"/>
              </w:rPr>
            </w:pPr>
            <w:r w:rsidRPr="005E762C">
              <w:rPr>
                <w:rStyle w:val="Bold"/>
              </w:rPr>
              <w:t>Perceived conflict of interest</w:t>
            </w:r>
          </w:p>
          <w:p w14:paraId="7D64FA15" w14:textId="77777777" w:rsidR="00424127" w:rsidRPr="004A1BF4" w:rsidRDefault="00424127" w:rsidP="004D7732">
            <w:pPr>
              <w:pStyle w:val="TableText"/>
              <w:rPr>
                <w:lang w:val="en-AU"/>
              </w:rPr>
            </w:pPr>
            <w:r w:rsidRPr="005E762C">
              <w:t>The public or a third party could form the view that an SRO Worker’s private interests could improperly influence their decisions or actions, now or in the future.</w:t>
            </w:r>
          </w:p>
        </w:tc>
      </w:tr>
      <w:tr w:rsidR="00424127" w:rsidRPr="005E762C" w14:paraId="29D7AD4F" w14:textId="77777777" w:rsidTr="00424127">
        <w:tblPrEx>
          <w:tblCellMar>
            <w:top w:w="57" w:type="dxa"/>
          </w:tblCellMar>
        </w:tblPrEx>
        <w:tc>
          <w:tcPr>
            <w:tcW w:w="2099" w:type="dxa"/>
          </w:tcPr>
          <w:p w14:paraId="5B6E2331" w14:textId="77777777" w:rsidR="00424127" w:rsidRPr="004A1BF4" w:rsidRDefault="00424127" w:rsidP="00FD4DE4">
            <w:pPr>
              <w:pStyle w:val="TableText"/>
              <w:rPr>
                <w:rStyle w:val="Bold"/>
                <w:lang w:val="en-AU"/>
              </w:rPr>
            </w:pPr>
            <w:r w:rsidRPr="005E762C">
              <w:rPr>
                <w:rStyle w:val="Bold"/>
              </w:rPr>
              <w:t>Gifts</w:t>
            </w:r>
          </w:p>
        </w:tc>
        <w:tc>
          <w:tcPr>
            <w:tcW w:w="7596" w:type="dxa"/>
          </w:tcPr>
          <w:p w14:paraId="2B48FB26" w14:textId="77777777" w:rsidR="00424127" w:rsidRPr="004A1BF4" w:rsidRDefault="00424127" w:rsidP="00FD4DE4">
            <w:pPr>
              <w:pStyle w:val="TableText"/>
              <w:rPr>
                <w:lang w:val="en-AU"/>
              </w:rPr>
            </w:pPr>
            <w:r w:rsidRPr="005E762C">
              <w:t>Are free or discounted items and any item that would generally be seen by the public as a gift. These include items of high value (e.g. artwork, jewellery, or expensive pens), low value (e.g. small bunch of flowers) and consumables (e.g. chocolates). Fundraising by public sector organisations that is consistent with relevant legislation and any government policy is not prohibited under the minimum accountabilities.</w:t>
            </w:r>
          </w:p>
        </w:tc>
      </w:tr>
      <w:tr w:rsidR="00424127" w:rsidRPr="005E762C" w14:paraId="7130667C"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522074A2" w14:textId="77777777" w:rsidR="00424127" w:rsidRPr="004A1BF4" w:rsidRDefault="00424127" w:rsidP="00FD4DE4">
            <w:pPr>
              <w:pStyle w:val="TableText"/>
              <w:rPr>
                <w:rStyle w:val="Bold"/>
                <w:lang w:val="en-AU"/>
              </w:rPr>
            </w:pPr>
            <w:r w:rsidRPr="005E762C">
              <w:rPr>
                <w:rStyle w:val="Bold"/>
              </w:rPr>
              <w:t>Hospitality</w:t>
            </w:r>
          </w:p>
        </w:tc>
        <w:tc>
          <w:tcPr>
            <w:tcW w:w="7596" w:type="dxa"/>
          </w:tcPr>
          <w:p w14:paraId="422748E3" w14:textId="77777777" w:rsidR="00424127" w:rsidRPr="004A1BF4" w:rsidRDefault="00424127" w:rsidP="00FD4DE4">
            <w:pPr>
              <w:pStyle w:val="TableText"/>
              <w:rPr>
                <w:rFonts w:cs="Arial"/>
                <w:lang w:val="en-AU"/>
              </w:rPr>
            </w:pPr>
            <w:r w:rsidRPr="005E762C">
              <w:rPr>
                <w:rFonts w:cs="Arial"/>
              </w:rPr>
              <w:t>Hospitality includes food, alcoholic or soft drinks, tea and coffee, entertainment vouchers such as theatre tickets and corporate box tickets.</w:t>
            </w:r>
          </w:p>
          <w:p w14:paraId="782404BA" w14:textId="77777777" w:rsidR="00424127" w:rsidRPr="004A1BF4" w:rsidRDefault="00424127" w:rsidP="00FD4DE4">
            <w:pPr>
              <w:pStyle w:val="TableText"/>
              <w:rPr>
                <w:rFonts w:cs="Arial"/>
                <w:lang w:val="en-AU"/>
              </w:rPr>
            </w:pPr>
            <w:r w:rsidRPr="005E762C">
              <w:rPr>
                <w:rFonts w:cs="Arial"/>
              </w:rPr>
              <w:t>In-house catering means food and drinks purchased externally and serviced within the SRO Building.</w:t>
            </w:r>
          </w:p>
          <w:p w14:paraId="18D652BA" w14:textId="77777777" w:rsidR="00424127" w:rsidRPr="004A1BF4" w:rsidRDefault="00424127" w:rsidP="00FD4DE4">
            <w:pPr>
              <w:pStyle w:val="TableText"/>
              <w:rPr>
                <w:lang w:val="en-AU"/>
              </w:rPr>
            </w:pPr>
            <w:r w:rsidRPr="005E762C">
              <w:rPr>
                <w:rFonts w:cs="Arial"/>
              </w:rPr>
              <w:t xml:space="preserve">External catering means meals and drinks consumed at venues external to the SRO, such as restaurants and hotels.  </w:t>
            </w:r>
          </w:p>
        </w:tc>
      </w:tr>
      <w:tr w:rsidR="00424127" w:rsidRPr="005E762C" w14:paraId="3543E662" w14:textId="77777777" w:rsidTr="00424127">
        <w:tblPrEx>
          <w:tblCellMar>
            <w:top w:w="57" w:type="dxa"/>
          </w:tblCellMar>
        </w:tblPrEx>
        <w:tc>
          <w:tcPr>
            <w:tcW w:w="2099" w:type="dxa"/>
          </w:tcPr>
          <w:p w14:paraId="68D896BC" w14:textId="77777777" w:rsidR="00424127" w:rsidRPr="004A1BF4" w:rsidRDefault="00424127" w:rsidP="00FD4DE4">
            <w:pPr>
              <w:pStyle w:val="TableText"/>
              <w:rPr>
                <w:rStyle w:val="Bold"/>
                <w:lang w:val="en-AU"/>
              </w:rPr>
            </w:pPr>
            <w:r w:rsidRPr="005E762C">
              <w:rPr>
                <w:rStyle w:val="Bold"/>
              </w:rPr>
              <w:t>Legitimate business benefit</w:t>
            </w:r>
          </w:p>
        </w:tc>
        <w:tc>
          <w:tcPr>
            <w:tcW w:w="7596" w:type="dxa"/>
          </w:tcPr>
          <w:p w14:paraId="581B9585" w14:textId="77777777" w:rsidR="00424127" w:rsidRPr="004A1BF4" w:rsidRDefault="00424127" w:rsidP="00FD4DE4">
            <w:pPr>
              <w:pStyle w:val="TableText"/>
              <w:rPr>
                <w:lang w:val="en-AU"/>
              </w:rPr>
            </w:pPr>
            <w:r w:rsidRPr="005E762C">
              <w:rPr>
                <w:rFonts w:cs="Arial"/>
              </w:rPr>
              <w:t>Gifts, benefits and hospitality accepted or provided for a business purpose, in that it furthers the conduct of official business or other legitimate goals of the organisation, public sector or State.</w:t>
            </w:r>
          </w:p>
        </w:tc>
      </w:tr>
      <w:tr w:rsidR="00424127" w:rsidRPr="005E762C" w14:paraId="009871E2"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08EA19FE" w14:textId="77777777" w:rsidR="00424127" w:rsidRPr="004A1BF4" w:rsidRDefault="00424127" w:rsidP="00FD4DE4">
            <w:pPr>
              <w:pStyle w:val="TableText"/>
              <w:rPr>
                <w:rStyle w:val="Bold"/>
                <w:lang w:val="en-AU"/>
              </w:rPr>
            </w:pPr>
            <w:r w:rsidRPr="005E762C">
              <w:rPr>
                <w:rStyle w:val="Bold"/>
              </w:rPr>
              <w:t>Private interest</w:t>
            </w:r>
          </w:p>
        </w:tc>
        <w:tc>
          <w:tcPr>
            <w:tcW w:w="7596" w:type="dxa"/>
          </w:tcPr>
          <w:p w14:paraId="17F3D754" w14:textId="77777777" w:rsidR="00424127" w:rsidRPr="004A1BF4" w:rsidRDefault="00424127" w:rsidP="00FD4DE4">
            <w:pPr>
              <w:pStyle w:val="TableText"/>
              <w:rPr>
                <w:lang w:val="en-AU"/>
              </w:rPr>
            </w:pPr>
            <w:r w:rsidRPr="005E762C">
              <w:rPr>
                <w:rFonts w:cs="Arial"/>
              </w:rPr>
              <w:t>Anything that can have an impact on an individual or a group.  Includes not only an SRO Worker’s own personal, professional or business interests, but also those personal, professional or business interests of an individual or group with whom they are closely associated.</w:t>
            </w:r>
          </w:p>
        </w:tc>
      </w:tr>
      <w:tr w:rsidR="00424127" w:rsidRPr="005E762C" w14:paraId="0C856D37" w14:textId="77777777" w:rsidTr="00424127">
        <w:tblPrEx>
          <w:tblCellMar>
            <w:top w:w="57" w:type="dxa"/>
          </w:tblCellMar>
        </w:tblPrEx>
        <w:tc>
          <w:tcPr>
            <w:tcW w:w="2099" w:type="dxa"/>
          </w:tcPr>
          <w:p w14:paraId="73559FB3" w14:textId="77777777" w:rsidR="00424127" w:rsidRPr="004A1BF4" w:rsidRDefault="00424127" w:rsidP="00FD4DE4">
            <w:pPr>
              <w:pStyle w:val="TableText"/>
              <w:rPr>
                <w:rStyle w:val="Bold"/>
                <w:lang w:val="en-AU"/>
              </w:rPr>
            </w:pPr>
            <w:r w:rsidRPr="005E762C">
              <w:rPr>
                <w:rStyle w:val="Bold"/>
              </w:rPr>
              <w:t>Public Duty</w:t>
            </w:r>
          </w:p>
        </w:tc>
        <w:tc>
          <w:tcPr>
            <w:tcW w:w="7596" w:type="dxa"/>
          </w:tcPr>
          <w:p w14:paraId="36DC8380" w14:textId="77777777" w:rsidR="00424127" w:rsidRPr="004A1BF4" w:rsidRDefault="00424127" w:rsidP="00FD4DE4">
            <w:pPr>
              <w:pStyle w:val="TableText"/>
              <w:rPr>
                <w:rFonts w:eastAsia="Times New Roman"/>
                <w:lang w:val="en-AU" w:eastAsia="en-AU"/>
              </w:rPr>
            </w:pPr>
            <w:r w:rsidRPr="005E762C">
              <w:rPr>
                <w:rFonts w:eastAsia="Times New Roman"/>
              </w:rPr>
              <w:t xml:space="preserve">All public sector employees have a duty to put the public interest above their private interest when carrying out their official duties. </w:t>
            </w:r>
          </w:p>
          <w:p w14:paraId="44AD930D" w14:textId="77777777" w:rsidR="00424127" w:rsidRPr="004A1BF4" w:rsidRDefault="00424127" w:rsidP="00FD4DE4">
            <w:pPr>
              <w:pStyle w:val="TableText"/>
              <w:rPr>
                <w:rFonts w:eastAsia="Times New Roman"/>
                <w:lang w:val="en-AU" w:eastAsia="en-AU"/>
              </w:rPr>
            </w:pPr>
            <w:r w:rsidRPr="005E762C">
              <w:rPr>
                <w:rFonts w:eastAsia="Times New Roman"/>
              </w:rPr>
              <w:t xml:space="preserve">SRO Workers can best fulfil their duty to put the public interest first by: </w:t>
            </w:r>
          </w:p>
          <w:p w14:paraId="51EF337C" w14:textId="77777777" w:rsidR="00424127" w:rsidRPr="004A1BF4" w:rsidRDefault="00424127" w:rsidP="004A1BF4">
            <w:pPr>
              <w:pStyle w:val="TableBullet"/>
              <w:numPr>
                <w:ilvl w:val="0"/>
                <w:numId w:val="30"/>
              </w:numPr>
              <w:rPr>
                <w:lang w:val="en-AU"/>
              </w:rPr>
            </w:pPr>
            <w:r w:rsidRPr="005E762C">
              <w:t xml:space="preserve">Carrying out their prescribed official duties fully and effectively in accordance with relevant legislation and policy; </w:t>
            </w:r>
          </w:p>
          <w:p w14:paraId="60970D1D" w14:textId="77777777" w:rsidR="00424127" w:rsidRPr="004A1BF4" w:rsidRDefault="00424127" w:rsidP="004A1BF4">
            <w:pPr>
              <w:pStyle w:val="TableBullet"/>
              <w:numPr>
                <w:ilvl w:val="0"/>
                <w:numId w:val="30"/>
              </w:numPr>
              <w:rPr>
                <w:lang w:val="en-AU"/>
              </w:rPr>
            </w:pPr>
            <w:r w:rsidRPr="005E762C">
              <w:t xml:space="preserve">Carrying out their official duties in accordance with the public sector values and codes of conduct; and </w:t>
            </w:r>
          </w:p>
          <w:p w14:paraId="1DDEEF0C" w14:textId="77777777" w:rsidR="00424127" w:rsidRPr="004A1BF4" w:rsidRDefault="00424127" w:rsidP="004A1BF4">
            <w:pPr>
              <w:pStyle w:val="TableBullet"/>
              <w:numPr>
                <w:ilvl w:val="0"/>
                <w:numId w:val="30"/>
              </w:numPr>
              <w:rPr>
                <w:lang w:val="en-AU"/>
              </w:rPr>
            </w:pPr>
            <w:r w:rsidRPr="005E762C">
              <w:t>Identifying any actual, potential or perceived conflicts of interest that they have and ensuring these are managed effectively</w:t>
            </w:r>
            <w:r w:rsidRPr="005E762C">
              <w:rPr>
                <w:rFonts w:ascii="Times New Roman" w:hAnsi="Times New Roman"/>
                <w:sz w:val="27"/>
                <w:szCs w:val="27"/>
              </w:rPr>
              <w:t>.</w:t>
            </w:r>
          </w:p>
        </w:tc>
      </w:tr>
      <w:tr w:rsidR="00424127" w:rsidRPr="005E762C" w14:paraId="092885CB"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75BB7FE3" w14:textId="77777777" w:rsidR="00424127" w:rsidRPr="004A1BF4" w:rsidRDefault="00424127" w:rsidP="00FD4DE4">
            <w:pPr>
              <w:pStyle w:val="TableText"/>
              <w:rPr>
                <w:rStyle w:val="Bold"/>
                <w:lang w:val="en-AU"/>
              </w:rPr>
            </w:pPr>
            <w:r w:rsidRPr="005E762C">
              <w:rPr>
                <w:rStyle w:val="Bold"/>
              </w:rPr>
              <w:t>Public Official</w:t>
            </w:r>
          </w:p>
        </w:tc>
        <w:tc>
          <w:tcPr>
            <w:tcW w:w="7596" w:type="dxa"/>
          </w:tcPr>
          <w:p w14:paraId="35262E69" w14:textId="77777777" w:rsidR="00424127" w:rsidRPr="004A1BF4" w:rsidRDefault="00424127" w:rsidP="00FD4DE4">
            <w:pPr>
              <w:pStyle w:val="TableText"/>
              <w:rPr>
                <w:rFonts w:cs="Arial"/>
                <w:lang w:val="en-AU"/>
              </w:rPr>
            </w:pPr>
            <w:r w:rsidRPr="005E762C">
              <w:rPr>
                <w:rFonts w:cs="Arial"/>
              </w:rPr>
              <w:t xml:space="preserve">Has the same meaning as under section 4 of the </w:t>
            </w:r>
            <w:r w:rsidRPr="005E762C">
              <w:rPr>
                <w:rFonts w:cs="Arial"/>
                <w:i/>
              </w:rPr>
              <w:t>Public Administration Act 2004</w:t>
            </w:r>
            <w:r w:rsidRPr="005E762C">
              <w:rPr>
                <w:rFonts w:cs="Arial"/>
              </w:rPr>
              <w:t>. This includes:</w:t>
            </w:r>
          </w:p>
          <w:p w14:paraId="14CF513B" w14:textId="77777777" w:rsidR="00424127" w:rsidRPr="004A1BF4" w:rsidRDefault="00424127" w:rsidP="004A1BF4">
            <w:pPr>
              <w:pStyle w:val="TableBullet"/>
              <w:numPr>
                <w:ilvl w:val="0"/>
                <w:numId w:val="31"/>
              </w:numPr>
              <w:rPr>
                <w:lang w:val="en-AU"/>
              </w:rPr>
            </w:pPr>
            <w:r w:rsidRPr="005E762C">
              <w:t>public sector employees;</w:t>
            </w:r>
          </w:p>
          <w:p w14:paraId="706C0B2A" w14:textId="77777777" w:rsidR="00424127" w:rsidRPr="004A1BF4" w:rsidRDefault="00424127" w:rsidP="004A1BF4">
            <w:pPr>
              <w:pStyle w:val="TableBullet"/>
              <w:numPr>
                <w:ilvl w:val="0"/>
                <w:numId w:val="31"/>
              </w:numPr>
              <w:rPr>
                <w:lang w:val="en-AU"/>
              </w:rPr>
            </w:pPr>
            <w:r w:rsidRPr="005E762C">
              <w:t>statutory office holders; and</w:t>
            </w:r>
          </w:p>
          <w:p w14:paraId="7BF53614" w14:textId="77777777" w:rsidR="00424127" w:rsidRPr="004A1BF4" w:rsidRDefault="00424127" w:rsidP="004A1BF4">
            <w:pPr>
              <w:pStyle w:val="TableBullet"/>
              <w:numPr>
                <w:ilvl w:val="0"/>
                <w:numId w:val="31"/>
              </w:numPr>
              <w:rPr>
                <w:lang w:val="en-AU"/>
              </w:rPr>
            </w:pPr>
            <w:r w:rsidRPr="005E762C">
              <w:t xml:space="preserve">directors of public entities. </w:t>
            </w:r>
          </w:p>
        </w:tc>
      </w:tr>
      <w:tr w:rsidR="00424127" w:rsidRPr="005E762C" w14:paraId="04F978EA" w14:textId="77777777" w:rsidTr="00424127">
        <w:tblPrEx>
          <w:tblCellMar>
            <w:top w:w="57" w:type="dxa"/>
          </w:tblCellMar>
        </w:tblPrEx>
        <w:tc>
          <w:tcPr>
            <w:tcW w:w="2099" w:type="dxa"/>
          </w:tcPr>
          <w:p w14:paraId="72A17F34" w14:textId="77777777" w:rsidR="00424127" w:rsidRPr="004A1BF4" w:rsidRDefault="00424127" w:rsidP="00FD4DE4">
            <w:pPr>
              <w:pStyle w:val="TableText"/>
              <w:rPr>
                <w:rStyle w:val="Bold"/>
                <w:lang w:val="en-AU"/>
              </w:rPr>
            </w:pPr>
            <w:r w:rsidRPr="005E762C">
              <w:rPr>
                <w:rStyle w:val="Bold"/>
              </w:rPr>
              <w:t>Register</w:t>
            </w:r>
          </w:p>
        </w:tc>
        <w:tc>
          <w:tcPr>
            <w:tcW w:w="7596" w:type="dxa"/>
          </w:tcPr>
          <w:p w14:paraId="3899F284" w14:textId="77777777" w:rsidR="00424127" w:rsidRPr="004A1BF4" w:rsidRDefault="00424127" w:rsidP="00FD4DE4">
            <w:pPr>
              <w:pStyle w:val="TableText"/>
              <w:rPr>
                <w:lang w:val="en-AU"/>
              </w:rPr>
            </w:pPr>
            <w:r w:rsidRPr="005E762C">
              <w:rPr>
                <w:rFonts w:cs="Arial"/>
              </w:rPr>
              <w:t>Is a record, preferably electronic, of all declarable gifts, benefits and hospitality. It records the date an offer was made and by whom, the nature of the offer, its estimated value, the raising of any actual, potential or perceived conflicts of interest or reputational risks and how the offer was managed. For accepted offers, it details the business reason for acceptance and the officer approving the acceptance.</w:t>
            </w:r>
          </w:p>
        </w:tc>
      </w:tr>
      <w:tr w:rsidR="00424127" w:rsidRPr="005E762C" w14:paraId="77DCFB4F" w14:textId="77777777" w:rsidTr="00424127">
        <w:tblPrEx>
          <w:tblCellMar>
            <w:top w:w="57" w:type="dxa"/>
          </w:tblCellMar>
        </w:tblPrEx>
        <w:trPr>
          <w:cnfStyle w:val="000000010000" w:firstRow="0" w:lastRow="0" w:firstColumn="0" w:lastColumn="0" w:oddVBand="0" w:evenVBand="0" w:oddHBand="0" w:evenHBand="1" w:firstRowFirstColumn="0" w:firstRowLastColumn="0" w:lastRowFirstColumn="0" w:lastRowLastColumn="0"/>
        </w:trPr>
        <w:tc>
          <w:tcPr>
            <w:tcW w:w="2099" w:type="dxa"/>
          </w:tcPr>
          <w:p w14:paraId="71A05D01" w14:textId="77777777" w:rsidR="00424127" w:rsidRPr="004A1BF4" w:rsidRDefault="00424127" w:rsidP="00FD4DE4">
            <w:pPr>
              <w:pStyle w:val="TableText"/>
              <w:rPr>
                <w:rStyle w:val="Bold"/>
                <w:lang w:val="en-AU"/>
              </w:rPr>
            </w:pPr>
            <w:r w:rsidRPr="005E762C">
              <w:rPr>
                <w:rStyle w:val="Bold"/>
              </w:rPr>
              <w:t>Token offer</w:t>
            </w:r>
          </w:p>
        </w:tc>
        <w:tc>
          <w:tcPr>
            <w:tcW w:w="7596" w:type="dxa"/>
          </w:tcPr>
          <w:p w14:paraId="301CF1D1" w14:textId="77777777" w:rsidR="00424127" w:rsidRPr="004A1BF4" w:rsidRDefault="00424127" w:rsidP="00FD4DE4">
            <w:pPr>
              <w:pStyle w:val="TableText"/>
              <w:rPr>
                <w:rFonts w:cs="Arial"/>
                <w:lang w:val="en-AU"/>
              </w:rPr>
            </w:pPr>
            <w:r w:rsidRPr="005E762C">
              <w:rPr>
                <w:rFonts w:cs="Arial"/>
              </w:rPr>
              <w:t xml:space="preserve">Is an offer of a gift, benefit or hospitality that is offered as a courtesy or is of inconsequential or trivial value to both the person making the offer and the individual employee. </w:t>
            </w:r>
          </w:p>
          <w:p w14:paraId="61759B8B" w14:textId="77777777" w:rsidR="00424127" w:rsidRPr="004A1BF4" w:rsidRDefault="00424127" w:rsidP="00FD4DE4">
            <w:pPr>
              <w:pStyle w:val="TableText"/>
              <w:rPr>
                <w:lang w:val="en-AU"/>
              </w:rPr>
            </w:pPr>
            <w:r w:rsidRPr="005E762C">
              <w:rPr>
                <w:rFonts w:cs="Arial"/>
              </w:rPr>
              <w:t>Whilst the primary determinant of a token offer is that it would not be reasonably perceived within or outside the organisation as influencing an individual or raising an actual, potential or perceived conflict of interest, it cannot be worth more than $50 (including cumulative offers from the same source over a 12 month period).</w:t>
            </w:r>
          </w:p>
        </w:tc>
      </w:tr>
      <w:tr w:rsidR="00424127" w:rsidRPr="005E762C" w14:paraId="5041C8C0" w14:textId="77777777" w:rsidTr="00424127">
        <w:tblPrEx>
          <w:tblCellMar>
            <w:top w:w="57" w:type="dxa"/>
          </w:tblCellMar>
        </w:tblPrEx>
        <w:tc>
          <w:tcPr>
            <w:tcW w:w="2099" w:type="dxa"/>
          </w:tcPr>
          <w:p w14:paraId="73A20167" w14:textId="77777777" w:rsidR="00424127" w:rsidRPr="004A1BF4" w:rsidRDefault="00424127" w:rsidP="00FD4DE4">
            <w:pPr>
              <w:pStyle w:val="TableText"/>
              <w:rPr>
                <w:rStyle w:val="Bold"/>
                <w:lang w:val="en-AU"/>
              </w:rPr>
            </w:pPr>
            <w:r w:rsidRPr="005E762C">
              <w:rPr>
                <w:rStyle w:val="Bold"/>
              </w:rPr>
              <w:t>Non-token offer</w:t>
            </w:r>
          </w:p>
        </w:tc>
        <w:tc>
          <w:tcPr>
            <w:tcW w:w="7596" w:type="dxa"/>
          </w:tcPr>
          <w:p w14:paraId="291CC86D" w14:textId="77777777" w:rsidR="00424127" w:rsidRPr="004A1BF4" w:rsidRDefault="00424127" w:rsidP="00FD4DE4">
            <w:pPr>
              <w:pStyle w:val="TableText"/>
              <w:rPr>
                <w:rFonts w:cs="Arial"/>
                <w:lang w:val="en-AU"/>
              </w:rPr>
            </w:pPr>
            <w:r w:rsidRPr="005E762C">
              <w:rPr>
                <w:rFonts w:cs="Arial"/>
              </w:rPr>
              <w:t xml:space="preserve">Is an offer of a gift, benefit or hospitality that is, or may be perceived to be by the recipient, the person making the offer or by the wider community, of more than inconsequential value.  All offers worth more than $50 are non-token offers and must be recorded on a gift, benefit and hospitality register. </w:t>
            </w:r>
          </w:p>
        </w:tc>
      </w:tr>
    </w:tbl>
    <w:p w14:paraId="06BF4EB6" w14:textId="77777777" w:rsidR="00451D27" w:rsidRPr="005E762C" w:rsidRDefault="00331F3B" w:rsidP="00451D27">
      <w:pPr>
        <w:pStyle w:val="Heading1notnumbered"/>
      </w:pPr>
      <w:r w:rsidRPr="005E762C">
        <w:t>References</w:t>
      </w:r>
    </w:p>
    <w:tbl>
      <w:tblPr>
        <w:tblStyle w:val="SROTABLE"/>
        <w:tblpPr w:leftFromText="181" w:rightFromText="181" w:bottomFromText="284" w:vertAnchor="text" w:tblpX="80" w:tblpY="1"/>
        <w:tblOverlap w:val="never"/>
        <w:tblW w:w="9736" w:type="dxa"/>
        <w:tblInd w:w="0" w:type="dxa"/>
        <w:tblBorders>
          <w:bottom w:val="none" w:sz="0" w:space="0" w:color="auto"/>
        </w:tblBorders>
        <w:tblLayout w:type="fixed"/>
        <w:tblCellMar>
          <w:top w:w="34" w:type="dxa"/>
        </w:tblCellMar>
        <w:tblLook w:val="00A0" w:firstRow="1" w:lastRow="0" w:firstColumn="1" w:lastColumn="0" w:noHBand="0" w:noVBand="0"/>
      </w:tblPr>
      <w:tblGrid>
        <w:gridCol w:w="9736"/>
      </w:tblGrid>
      <w:tr w:rsidR="00451D27" w:rsidRPr="005E762C" w14:paraId="22A8890C" w14:textId="77777777" w:rsidTr="008860B2">
        <w:trPr>
          <w:cnfStyle w:val="100000000000" w:firstRow="1" w:lastRow="0" w:firstColumn="0" w:lastColumn="0" w:oddVBand="0" w:evenVBand="0" w:oddHBand="0" w:evenHBand="0" w:firstRowFirstColumn="0" w:firstRowLastColumn="0" w:lastRowFirstColumn="0" w:lastRowLastColumn="0"/>
          <w:tblHeader/>
        </w:trPr>
        <w:tc>
          <w:tcPr>
            <w:tcW w:w="5000" w:type="pct"/>
          </w:tcPr>
          <w:p w14:paraId="743B513D" w14:textId="77777777" w:rsidR="00451D27" w:rsidRPr="004A1BF4" w:rsidRDefault="00451D27" w:rsidP="008860B2">
            <w:pPr>
              <w:pStyle w:val="ColumnHeading"/>
              <w:rPr>
                <w:lang w:val="en-AU"/>
              </w:rPr>
            </w:pPr>
            <w:r w:rsidRPr="005E762C">
              <w:t>References that may be useful</w:t>
            </w:r>
          </w:p>
        </w:tc>
      </w:tr>
    </w:tbl>
    <w:p w14:paraId="369E5CD0" w14:textId="77777777" w:rsidR="00FD4DE4" w:rsidRPr="005E762C" w:rsidRDefault="00FD4DE4" w:rsidP="00FD4DE4">
      <w:pPr>
        <w:pStyle w:val="BodyText"/>
      </w:pPr>
      <w:r w:rsidRPr="005E762C">
        <w:t>The references</w:t>
      </w:r>
      <w:r w:rsidR="006E51BB" w:rsidRPr="005E762C">
        <w:t xml:space="preserve"> listed below </w:t>
      </w:r>
      <w:r w:rsidRPr="005E762C">
        <w:t xml:space="preserve">are hyperlinks.  Choose the document by hovering your mouse over the name, then control-click to follow the link. </w:t>
      </w:r>
    </w:p>
    <w:p w14:paraId="745B6E07" w14:textId="717BDFB6" w:rsidR="00FD4DE4" w:rsidRPr="005E762C" w:rsidRDefault="00FD4DE4" w:rsidP="00FD4DE4">
      <w:pPr>
        <w:pStyle w:val="ListBullet"/>
      </w:pPr>
      <w:hyperlink r:id="rId20" w:history="1">
        <w:hyperlink r:id="rId21" w:tooltip="Public Administration Act 2004 " w:history="1">
          <w:r w:rsidRPr="005E762C">
            <w:rPr>
              <w:rStyle w:val="Hyperlink"/>
            </w:rPr>
            <w:t>Public Administration Act 2004</w:t>
          </w:r>
        </w:hyperlink>
      </w:hyperlink>
      <w:r w:rsidRPr="005E762C">
        <w:t xml:space="preserve"> </w:t>
      </w:r>
    </w:p>
    <w:p w14:paraId="7298F3E8" w14:textId="2446BE6B" w:rsidR="00FD4DE4" w:rsidRPr="005E762C" w:rsidRDefault="00FD4DE4" w:rsidP="00FD4DE4">
      <w:pPr>
        <w:pStyle w:val="ListBullet"/>
      </w:pPr>
      <w:hyperlink r:id="rId22" w:history="1">
        <w:hyperlink r:id="rId23" w:tooltip="Victorian Public Service Code of Conduct " w:history="1">
          <w:r w:rsidRPr="005E762C">
            <w:rPr>
              <w:rStyle w:val="Hyperlink"/>
            </w:rPr>
            <w:t>Victorian Public Service Code of Conduct</w:t>
          </w:r>
        </w:hyperlink>
      </w:hyperlink>
      <w:r w:rsidRPr="005E762C">
        <w:t xml:space="preserve"> </w:t>
      </w:r>
    </w:p>
    <w:p w14:paraId="70D204BD" w14:textId="56E092E4" w:rsidR="00FD4DE4" w:rsidRPr="004A1BF4" w:rsidRDefault="00BE2759" w:rsidP="00FD4DE4">
      <w:pPr>
        <w:pStyle w:val="ListBullet"/>
      </w:pPr>
      <w:hyperlink r:id="rId24" w:history="1">
        <w:hyperlink r:id="rId25" w:history="1">
          <w:r>
            <w:rPr>
              <w:rStyle w:val="Hyperlink"/>
            </w:rPr>
            <w:t>VPSC Gifts, Benefits and Hospitality Policy Guide</w:t>
          </w:r>
        </w:hyperlink>
      </w:hyperlink>
    </w:p>
    <w:p w14:paraId="440CB16F" w14:textId="121799C9" w:rsidR="006E51BB" w:rsidRPr="004A1BF4" w:rsidRDefault="00FD4DE4" w:rsidP="00FD4DE4">
      <w:pPr>
        <w:pStyle w:val="ListBullet"/>
      </w:pPr>
      <w:hyperlink r:id="rId26" w:history="1">
        <w:hyperlink r:id="rId27" w:tooltip="VPSC Circular Gifts, Benefits and Hospitality 28 June 2018" w:history="1">
          <w:r w:rsidRPr="004A1BF4">
            <w:rPr>
              <w:rStyle w:val="Hyperlink"/>
            </w:rPr>
            <w:t>VPSC Circular Gifts, Benefits and Hospitality 2</w:t>
          </w:r>
          <w:r w:rsidR="009F5241">
            <w:rPr>
              <w:rStyle w:val="Hyperlink"/>
            </w:rPr>
            <w:t>9 May 2024</w:t>
          </w:r>
        </w:hyperlink>
      </w:hyperlink>
    </w:p>
    <w:p w14:paraId="0C8C017E" w14:textId="77777777" w:rsidR="00BE2759" w:rsidRPr="00BE2759" w:rsidRDefault="006E51BB" w:rsidP="004A1BF4">
      <w:pPr>
        <w:pStyle w:val="ListBullet"/>
        <w:rPr>
          <w:b/>
          <w:color w:val="004C97" w:themeColor="accent1"/>
        </w:rPr>
      </w:pPr>
      <w:hyperlink r:id="rId28" w:history="1">
        <w:hyperlink r:id="rId29" w:tooltip="SRO Gifts, Benefits and Hospitality Declaration Form" w:history="1">
          <w:r w:rsidRPr="004A1BF4">
            <w:rPr>
              <w:rStyle w:val="Hyperlink"/>
            </w:rPr>
            <w:t>SRO Gifts, Benefits and Hospitality Declaration Form</w:t>
          </w:r>
        </w:hyperlink>
      </w:hyperlink>
    </w:p>
    <w:p w14:paraId="5E0FADEF" w14:textId="784F12AA" w:rsidR="00761171" w:rsidRPr="004A1BF4" w:rsidRDefault="00761171" w:rsidP="004A1BF4">
      <w:pPr>
        <w:pStyle w:val="ListBullet"/>
        <w:rPr>
          <w:rStyle w:val="Hyperlink"/>
        </w:rPr>
      </w:pPr>
      <w:r w:rsidRPr="004A1BF4">
        <w:rPr>
          <w:rStyle w:val="Hyperlink"/>
        </w:rPr>
        <w:t>SRO Management of Misconduct Procedure</w:t>
      </w:r>
    </w:p>
    <w:p w14:paraId="2FE96C89" w14:textId="77777777" w:rsidR="000611DE" w:rsidRPr="005E762C" w:rsidRDefault="000611DE" w:rsidP="006E51BB">
      <w:pPr>
        <w:pStyle w:val="ListBullet"/>
        <w:numPr>
          <w:ilvl w:val="0"/>
          <w:numId w:val="0"/>
        </w:numPr>
        <w:rPr>
          <w:noProof/>
        </w:rPr>
      </w:pPr>
    </w:p>
    <w:p w14:paraId="28F595D1" w14:textId="77777777" w:rsidR="008D0507" w:rsidRPr="005E762C" w:rsidRDefault="00644551" w:rsidP="006E51BB">
      <w:pPr>
        <w:pStyle w:val="ListBullet"/>
        <w:numPr>
          <w:ilvl w:val="0"/>
          <w:numId w:val="0"/>
        </w:numPr>
        <w:rPr>
          <w:noProof/>
        </w:rPr>
      </w:pPr>
      <w:r>
        <w:rPr>
          <w:noProof/>
        </w:rPr>
        <w:pict w14:anchorId="2116490E">
          <v:rect id="_x0000_i1026" alt="" style="width:481.9pt;height:.05pt;mso-width-percent:0;mso-height-percent:0;mso-width-percent:0;mso-height-percent:0" o:hralign="center" o:hrstd="t" o:hr="t" fillcolor="#aaa" stroked="f"/>
        </w:pict>
      </w:r>
    </w:p>
    <w:p w14:paraId="708148CA" w14:textId="77777777" w:rsidR="000611DE" w:rsidRPr="005E762C" w:rsidRDefault="000611DE" w:rsidP="000611DE">
      <w:pPr>
        <w:pStyle w:val="Heading2notnumbered"/>
      </w:pPr>
      <w:r w:rsidRPr="005E762C">
        <w:t>Schedule A</w:t>
      </w:r>
    </w:p>
    <w:p w14:paraId="66AE9AA2" w14:textId="5E5D95A4" w:rsidR="000611DE" w:rsidRPr="005E762C" w:rsidRDefault="000611DE" w:rsidP="003940C6">
      <w:pPr>
        <w:pStyle w:val="Heading3notnumbered"/>
      </w:pPr>
      <w:r w:rsidRPr="005E762C">
        <w:t>VPSC Minimum accountabilities</w:t>
      </w:r>
    </w:p>
    <w:p w14:paraId="3AF96195" w14:textId="77777777" w:rsidR="00E769C4" w:rsidRPr="003940C6" w:rsidRDefault="00E769C4" w:rsidP="00E769C4">
      <w:pPr>
        <w:rPr>
          <w:rFonts w:eastAsiaTheme="majorEastAsia" w:cstheme="majorBidi"/>
          <w:b/>
          <w:color w:val="004C97" w:themeColor="accent1"/>
          <w:spacing w:val="10"/>
          <w:sz w:val="28"/>
          <w:szCs w:val="24"/>
        </w:rPr>
      </w:pPr>
      <w:r w:rsidRPr="003940C6">
        <w:rPr>
          <w:rFonts w:eastAsiaTheme="majorEastAsia" w:cstheme="majorBidi"/>
          <w:b/>
          <w:color w:val="004C97" w:themeColor="accent1"/>
          <w:spacing w:val="10"/>
          <w:sz w:val="28"/>
          <w:szCs w:val="24"/>
        </w:rPr>
        <w:t>Receiving offers of gifts, benefits and hospitality</w:t>
      </w:r>
    </w:p>
    <w:p w14:paraId="0C2162A8" w14:textId="77777777" w:rsidR="00E769C4" w:rsidRPr="00DA3AD4" w:rsidRDefault="00E769C4" w:rsidP="00E769C4">
      <w:r w:rsidRPr="00DA3AD4">
        <w:t>You must comply with the minimum accountabilities when responding to all offers of gifts, benefits or hospitality (token or non-token), including offers from other public sector organisations.</w:t>
      </w:r>
    </w:p>
    <w:p w14:paraId="77D26C1E" w14:textId="77777777" w:rsidR="00E769C4" w:rsidRPr="00B325F0" w:rsidRDefault="00E769C4" w:rsidP="00E769C4">
      <w:pPr>
        <w:rPr>
          <w:rFonts w:eastAsiaTheme="majorEastAsia" w:cstheme="majorBidi"/>
          <w:bCs/>
          <w:color w:val="004C97" w:themeColor="accent1"/>
          <w:spacing w:val="10"/>
          <w:sz w:val="24"/>
          <w:szCs w:val="24"/>
        </w:rPr>
      </w:pPr>
      <w:r w:rsidRPr="00B325F0">
        <w:rPr>
          <w:rFonts w:eastAsiaTheme="majorEastAsia" w:cstheme="majorBidi"/>
          <w:bCs/>
          <w:color w:val="004C97" w:themeColor="accent1"/>
          <w:spacing w:val="10"/>
          <w:sz w:val="24"/>
          <w:szCs w:val="24"/>
        </w:rPr>
        <w:t>Minimum accountability 1 – Do not solicit offers</w:t>
      </w:r>
    </w:p>
    <w:p w14:paraId="5E8AB7BA" w14:textId="77777777" w:rsidR="00E769C4" w:rsidRPr="00DA3AD4" w:rsidRDefault="00E769C4" w:rsidP="00E769C4">
      <w:r w:rsidRPr="00DA3AD4">
        <w:t>You must not solicit (seek) any gift, benefit or hospitality, for yourself or others, if the offer could reasonably be seen as connected to your employment.</w:t>
      </w:r>
    </w:p>
    <w:p w14:paraId="0AB74C17" w14:textId="77777777" w:rsidR="00E769C4" w:rsidRPr="00B325F0" w:rsidRDefault="00E769C4" w:rsidP="00E769C4">
      <w:pPr>
        <w:rPr>
          <w:rFonts w:eastAsiaTheme="majorEastAsia" w:cstheme="majorBidi"/>
          <w:bCs/>
          <w:color w:val="004C97" w:themeColor="accent1"/>
          <w:spacing w:val="10"/>
          <w:sz w:val="24"/>
          <w:szCs w:val="24"/>
        </w:rPr>
      </w:pPr>
      <w:r w:rsidRPr="00B325F0">
        <w:rPr>
          <w:rFonts w:eastAsiaTheme="majorEastAsia" w:cstheme="majorBidi"/>
          <w:bCs/>
          <w:color w:val="004C97" w:themeColor="accent1"/>
          <w:spacing w:val="10"/>
          <w:sz w:val="24"/>
          <w:szCs w:val="24"/>
        </w:rPr>
        <w:t>Minimum accountability 2 – Offers you must refuse</w:t>
      </w:r>
    </w:p>
    <w:p w14:paraId="34EEC8F3" w14:textId="77777777" w:rsidR="00E769C4" w:rsidRPr="00DA3AD4" w:rsidRDefault="00E769C4" w:rsidP="00E769C4">
      <w:r w:rsidRPr="00DA3AD4">
        <w:t>You must always refuse a gift, benefit or hospitality (token or not token) if any of the following apply:</w:t>
      </w:r>
    </w:p>
    <w:p w14:paraId="479FEDC4" w14:textId="77777777" w:rsidR="00E769C4" w:rsidRPr="00DA3AD4" w:rsidRDefault="00E769C4" w:rsidP="00E769C4">
      <w:pPr>
        <w:rPr>
          <w:b/>
          <w:bCs/>
        </w:rPr>
      </w:pPr>
      <w:r w:rsidRPr="00DA3AD4">
        <w:rPr>
          <w:b/>
          <w:bCs/>
        </w:rPr>
        <w:t>1. Money or similar:</w:t>
      </w:r>
    </w:p>
    <w:p w14:paraId="5D7149B9" w14:textId="77777777" w:rsidR="00E769C4" w:rsidRPr="00DA3AD4" w:rsidRDefault="00E769C4" w:rsidP="00E769C4">
      <w:r w:rsidRPr="00DA3AD4">
        <w:t>You must refuse the offer if it is money, used in a similar way to money, or easily converted to money.</w:t>
      </w:r>
    </w:p>
    <w:p w14:paraId="7A0D2CA5" w14:textId="77777777" w:rsidR="00E769C4" w:rsidRPr="00DA3AD4" w:rsidRDefault="00E769C4" w:rsidP="00E769C4">
      <w:pPr>
        <w:rPr>
          <w:b/>
          <w:bCs/>
        </w:rPr>
      </w:pPr>
      <w:r w:rsidRPr="00DA3AD4">
        <w:rPr>
          <w:b/>
          <w:bCs/>
        </w:rPr>
        <w:t>2. Conflict of interest</w:t>
      </w:r>
    </w:p>
    <w:p w14:paraId="6676A74E" w14:textId="77777777" w:rsidR="00E769C4" w:rsidRPr="00DA3AD4" w:rsidRDefault="00E769C4" w:rsidP="00E769C4">
      <w:r w:rsidRPr="00DA3AD4">
        <w:t>You must refuse the offer if it gives rise to a conflict of interest (actual, potential or perceived). This means you must refuse the offer if it could influence, or reasonably be seen to influence, how you perform your public duties.</w:t>
      </w:r>
    </w:p>
    <w:p w14:paraId="70FD54CB" w14:textId="77777777" w:rsidR="00E769C4" w:rsidRPr="00DA3AD4" w:rsidRDefault="00E769C4" w:rsidP="00E769C4">
      <w:pPr>
        <w:rPr>
          <w:b/>
          <w:bCs/>
        </w:rPr>
      </w:pPr>
      <w:r w:rsidRPr="00DA3AD4">
        <w:rPr>
          <w:b/>
          <w:bCs/>
        </w:rPr>
        <w:t>3. Public trust</w:t>
      </w:r>
    </w:p>
    <w:p w14:paraId="41AADA72" w14:textId="77777777" w:rsidR="00E769C4" w:rsidRPr="00DA3AD4" w:rsidRDefault="00E769C4" w:rsidP="00E769C4">
      <w:r w:rsidRPr="00DA3AD4">
        <w:t>You must refuse the offer if it could compromise the public’s trust that you will perform your public duties in an impartial manner or the public’s trust in the impartiality of your organisation or the public sector.</w:t>
      </w:r>
    </w:p>
    <w:p w14:paraId="528B1411" w14:textId="77777777" w:rsidR="00E769C4" w:rsidRPr="00DA3AD4" w:rsidRDefault="00E769C4" w:rsidP="00E769C4">
      <w:pPr>
        <w:rPr>
          <w:b/>
          <w:bCs/>
        </w:rPr>
      </w:pPr>
      <w:r w:rsidRPr="00DA3AD4">
        <w:rPr>
          <w:b/>
          <w:bCs/>
        </w:rPr>
        <w:t>4. Community expectations</w:t>
      </w:r>
    </w:p>
    <w:p w14:paraId="3C8DA30C" w14:textId="77777777" w:rsidR="00E769C4" w:rsidRPr="00DA3AD4" w:rsidRDefault="00E769C4" w:rsidP="00E769C4">
      <w:r w:rsidRPr="00DA3AD4">
        <w:t>You must refuse the offer if it is not consistent with community expectations.</w:t>
      </w:r>
    </w:p>
    <w:p w14:paraId="20B4D928" w14:textId="77777777" w:rsidR="00E769C4" w:rsidRPr="00DA3AD4" w:rsidRDefault="00E769C4" w:rsidP="00E769C4">
      <w:pPr>
        <w:rPr>
          <w:b/>
          <w:bCs/>
        </w:rPr>
      </w:pPr>
      <w:r w:rsidRPr="00DA3AD4">
        <w:rPr>
          <w:b/>
          <w:bCs/>
        </w:rPr>
        <w:t>5. Bribes</w:t>
      </w:r>
    </w:p>
    <w:p w14:paraId="54FB862F" w14:textId="77777777" w:rsidR="00E769C4" w:rsidRPr="00DA3AD4" w:rsidRDefault="00E769C4" w:rsidP="00E769C4">
      <w:r w:rsidRPr="00DA3AD4">
        <w:t>You must refuse the offer if it could reasonably be seen as a bribe or other inducement. Report the offer to the head of your public sector organisation or their delegate (who should report any criminal or corrupt conduct to Victoria Police or the Independent Broad-based Anti-corruption Commission).</w:t>
      </w:r>
    </w:p>
    <w:p w14:paraId="50578AD2" w14:textId="77777777" w:rsidR="00E769C4" w:rsidRPr="00DA3AD4" w:rsidRDefault="00E769C4" w:rsidP="00E769C4">
      <w:pPr>
        <w:rPr>
          <w:b/>
          <w:bCs/>
        </w:rPr>
      </w:pPr>
      <w:r w:rsidRPr="00DA3AD4">
        <w:rPr>
          <w:b/>
          <w:bCs/>
        </w:rPr>
        <w:t>6. Legitimate business reason – non token offers</w:t>
      </w:r>
    </w:p>
    <w:p w14:paraId="49757AA6" w14:textId="77777777" w:rsidR="00E769C4" w:rsidRPr="00DA3AD4" w:rsidRDefault="00E769C4" w:rsidP="00E769C4">
      <w:r w:rsidRPr="00DA3AD4">
        <w:t>Even if the offer complies with all the other requirements above, you must refuse a non-token offer unless there is a legitimate business reason to accept it. The offer must further the conduct of official business or other legitimate goals of your organisation, the public sector or the State.</w:t>
      </w:r>
    </w:p>
    <w:p w14:paraId="3AEEFC69" w14:textId="77777777" w:rsidR="00E769C4" w:rsidRPr="00B325F0" w:rsidRDefault="00E769C4" w:rsidP="00E769C4">
      <w:pPr>
        <w:rPr>
          <w:rFonts w:eastAsiaTheme="majorEastAsia" w:cstheme="majorBidi"/>
          <w:bCs/>
          <w:color w:val="004C97" w:themeColor="accent1"/>
          <w:spacing w:val="10"/>
          <w:sz w:val="24"/>
          <w:szCs w:val="24"/>
        </w:rPr>
      </w:pPr>
      <w:r w:rsidRPr="00B325F0">
        <w:rPr>
          <w:rFonts w:eastAsiaTheme="majorEastAsia" w:cstheme="majorBidi"/>
          <w:bCs/>
          <w:color w:val="004C97" w:themeColor="accent1"/>
          <w:spacing w:val="10"/>
          <w:sz w:val="24"/>
          <w:szCs w:val="24"/>
        </w:rPr>
        <w:t>Minimum accountability 3 – Declare all non-token offers</w:t>
      </w:r>
    </w:p>
    <w:p w14:paraId="7D561445" w14:textId="77777777" w:rsidR="00E769C4" w:rsidRPr="00DA3AD4" w:rsidRDefault="00E769C4" w:rsidP="00E769C4">
      <w:r w:rsidRPr="00DA3AD4">
        <w:t>If you receive a non-token offer (valued at $50 or more), you must:</w:t>
      </w:r>
    </w:p>
    <w:p w14:paraId="6A5489E2" w14:textId="77777777" w:rsidR="00E769C4" w:rsidRPr="00DA3AD4" w:rsidRDefault="00E769C4" w:rsidP="00E769C4">
      <w:pPr>
        <w:numPr>
          <w:ilvl w:val="0"/>
          <w:numId w:val="32"/>
        </w:numPr>
        <w:spacing w:after="160" w:line="259" w:lineRule="auto"/>
      </w:pPr>
      <w:r w:rsidRPr="00DA3AD4">
        <w:t>declare the offer in writing, even if you refuse it</w:t>
      </w:r>
    </w:p>
    <w:p w14:paraId="483A95D1" w14:textId="77777777" w:rsidR="00E769C4" w:rsidRPr="00DA3AD4" w:rsidRDefault="00E769C4" w:rsidP="00E769C4">
      <w:pPr>
        <w:numPr>
          <w:ilvl w:val="0"/>
          <w:numId w:val="32"/>
        </w:numPr>
        <w:spacing w:after="160" w:line="259" w:lineRule="auto"/>
      </w:pPr>
      <w:r w:rsidRPr="00DA3AD4">
        <w:t>always refuse the offer unless it complies with minimum accountability 2 and you have approval as set out in your organisation’s policy.</w:t>
      </w:r>
    </w:p>
    <w:p w14:paraId="0A92504A" w14:textId="77777777" w:rsidR="00E769C4" w:rsidRPr="00DA3AD4" w:rsidRDefault="00E769C4" w:rsidP="00E769C4">
      <w:r w:rsidRPr="00DA3AD4">
        <w:t>The offer and outcome will be recorded on the organisation’s official internal register and in the public register.</w:t>
      </w:r>
    </w:p>
    <w:p w14:paraId="679094F5" w14:textId="77777777" w:rsidR="00E769C4" w:rsidRPr="00A866CF" w:rsidRDefault="00E769C4" w:rsidP="00E769C4">
      <w:pPr>
        <w:rPr>
          <w:rFonts w:eastAsiaTheme="majorEastAsia" w:cstheme="majorBidi"/>
          <w:b/>
          <w:color w:val="004C97" w:themeColor="accent1"/>
          <w:spacing w:val="10"/>
          <w:sz w:val="28"/>
          <w:szCs w:val="24"/>
        </w:rPr>
      </w:pPr>
      <w:r w:rsidRPr="00A866CF">
        <w:rPr>
          <w:rFonts w:eastAsiaTheme="majorEastAsia" w:cstheme="majorBidi"/>
          <w:b/>
          <w:color w:val="004C97" w:themeColor="accent1"/>
          <w:spacing w:val="10"/>
          <w:sz w:val="28"/>
          <w:szCs w:val="24"/>
        </w:rPr>
        <w:t>Providing gifts, benefits and hospitality</w:t>
      </w:r>
    </w:p>
    <w:p w14:paraId="30AF6122" w14:textId="77777777" w:rsidR="00E769C4" w:rsidRPr="00DA3AD4" w:rsidRDefault="00E769C4" w:rsidP="00E769C4">
      <w:r w:rsidRPr="00DA3AD4">
        <w:t>These minimum accountabilities relate to providing gifts, benefits and hospitality on behalf of your organisation.</w:t>
      </w:r>
    </w:p>
    <w:p w14:paraId="532E1EEE" w14:textId="77777777" w:rsidR="00E769C4" w:rsidRPr="00DA3AD4" w:rsidRDefault="00E769C4" w:rsidP="00E769C4">
      <w:r w:rsidRPr="00DA3AD4">
        <w:t>They apply when making any offer of a gift, benefit or hospitality, including an offer to another Victorian public sector organisation.</w:t>
      </w:r>
    </w:p>
    <w:p w14:paraId="2B65788A" w14:textId="77777777" w:rsidR="00E769C4" w:rsidRPr="00B325F0" w:rsidRDefault="00E769C4" w:rsidP="00E769C4">
      <w:pPr>
        <w:rPr>
          <w:rFonts w:eastAsiaTheme="majorEastAsia" w:cstheme="majorBidi"/>
          <w:bCs/>
          <w:color w:val="004C97" w:themeColor="accent1"/>
          <w:spacing w:val="10"/>
          <w:sz w:val="24"/>
          <w:szCs w:val="24"/>
        </w:rPr>
      </w:pPr>
      <w:r w:rsidRPr="00B325F0">
        <w:rPr>
          <w:rFonts w:eastAsiaTheme="majorEastAsia" w:cstheme="majorBidi"/>
          <w:bCs/>
          <w:color w:val="004C97" w:themeColor="accent1"/>
          <w:spacing w:val="10"/>
          <w:sz w:val="24"/>
          <w:szCs w:val="24"/>
        </w:rPr>
        <w:t>Minimum accountability 4 – business purpose</w:t>
      </w:r>
    </w:p>
    <w:p w14:paraId="6ECE0512" w14:textId="77777777" w:rsidR="00E769C4" w:rsidRPr="00DA3AD4" w:rsidRDefault="00E769C4" w:rsidP="00E769C4">
      <w:r w:rsidRPr="00DA3AD4">
        <w:t>You must ensure that any gift, benefit and hospitality (token or non-token) you provide on behalf of your organisation is provided for a business purpose, in that it:</w:t>
      </w:r>
    </w:p>
    <w:p w14:paraId="70A5738E" w14:textId="77777777" w:rsidR="00E769C4" w:rsidRPr="00DA3AD4" w:rsidRDefault="00E769C4" w:rsidP="00E769C4">
      <w:pPr>
        <w:numPr>
          <w:ilvl w:val="0"/>
          <w:numId w:val="33"/>
        </w:numPr>
        <w:spacing w:after="160" w:line="259" w:lineRule="auto"/>
      </w:pPr>
      <w:r w:rsidRPr="00DA3AD4">
        <w:t>furthers the conduct of official business or other legitimate organisational goals, or</w:t>
      </w:r>
    </w:p>
    <w:p w14:paraId="164EFDB5" w14:textId="77777777" w:rsidR="00E769C4" w:rsidRPr="00DA3AD4" w:rsidRDefault="00E769C4" w:rsidP="00E769C4">
      <w:pPr>
        <w:numPr>
          <w:ilvl w:val="0"/>
          <w:numId w:val="33"/>
        </w:numPr>
        <w:spacing w:after="160" w:line="259" w:lineRule="auto"/>
      </w:pPr>
      <w:r w:rsidRPr="00DA3AD4">
        <w:t>promotes and supports government policy objectives and priorities.</w:t>
      </w:r>
    </w:p>
    <w:p w14:paraId="6F67CA9D"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5 – cost and community expectations</w:t>
      </w:r>
    </w:p>
    <w:p w14:paraId="7BD4DC46" w14:textId="77777777" w:rsidR="00E769C4" w:rsidRPr="00DA3AD4" w:rsidRDefault="00E769C4" w:rsidP="00E769C4">
      <w:r w:rsidRPr="00DA3AD4">
        <w:t>You must ensure that the cost of providing a gift, benefit or hospitality is:</w:t>
      </w:r>
    </w:p>
    <w:p w14:paraId="3013515B" w14:textId="77777777" w:rsidR="00E769C4" w:rsidRPr="00DA3AD4" w:rsidRDefault="00E769C4" w:rsidP="00E769C4">
      <w:pPr>
        <w:numPr>
          <w:ilvl w:val="0"/>
          <w:numId w:val="34"/>
        </w:numPr>
        <w:spacing w:after="160" w:line="259" w:lineRule="auto"/>
      </w:pPr>
      <w:r w:rsidRPr="00DA3AD4">
        <w:t>proportionate to the benefits obtained for the State</w:t>
      </w:r>
    </w:p>
    <w:p w14:paraId="7024E77F" w14:textId="77777777" w:rsidR="00E769C4" w:rsidRPr="00DA3AD4" w:rsidRDefault="00E769C4" w:rsidP="00E769C4">
      <w:pPr>
        <w:numPr>
          <w:ilvl w:val="0"/>
          <w:numId w:val="34"/>
        </w:numPr>
        <w:spacing w:after="160" w:line="259" w:lineRule="auto"/>
      </w:pPr>
      <w:r w:rsidRPr="00DA3AD4">
        <w:t>would be considered reasonable in terms of community expectations.</w:t>
      </w:r>
    </w:p>
    <w:p w14:paraId="52D1F25D"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6 – conflicts of interest</w:t>
      </w:r>
    </w:p>
    <w:p w14:paraId="5B4BC41B" w14:textId="77777777" w:rsidR="00E769C4" w:rsidRPr="00DA3AD4" w:rsidRDefault="00E769C4" w:rsidP="00E769C4">
      <w:r w:rsidRPr="00DA3AD4">
        <w:t>You must ensure that you do not provide a gift, benefit or hospitality unless:</w:t>
      </w:r>
    </w:p>
    <w:p w14:paraId="04AF3659" w14:textId="77777777" w:rsidR="00E769C4" w:rsidRPr="00DA3AD4" w:rsidRDefault="00E769C4" w:rsidP="00E769C4">
      <w:pPr>
        <w:numPr>
          <w:ilvl w:val="0"/>
          <w:numId w:val="35"/>
        </w:numPr>
        <w:spacing w:after="160" w:line="259" w:lineRule="auto"/>
      </w:pPr>
      <w:r w:rsidRPr="00DA3AD4">
        <w:t>no conflict of interest exists (actual, potential or perceived), or</w:t>
      </w:r>
    </w:p>
    <w:p w14:paraId="50C4B572" w14:textId="77777777" w:rsidR="00E769C4" w:rsidRPr="00DA3AD4" w:rsidRDefault="00E769C4" w:rsidP="00E769C4">
      <w:pPr>
        <w:numPr>
          <w:ilvl w:val="0"/>
          <w:numId w:val="35"/>
        </w:numPr>
        <w:spacing w:after="160" w:line="259" w:lineRule="auto"/>
      </w:pPr>
      <w:r w:rsidRPr="00DA3AD4">
        <w:t>you declare a conflict and your organisation develops a management plan that explicitly allows you to provide it.</w:t>
      </w:r>
    </w:p>
    <w:p w14:paraId="2571AA56"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7 – behaviour</w:t>
      </w:r>
    </w:p>
    <w:p w14:paraId="14A06981" w14:textId="77777777" w:rsidR="00E769C4" w:rsidRPr="00DA3AD4" w:rsidRDefault="00E769C4" w:rsidP="00E769C4">
      <w:r w:rsidRPr="00DA3AD4">
        <w:t>You must ensure that when hospitality is provided, participants:</w:t>
      </w:r>
    </w:p>
    <w:p w14:paraId="68FC3F8B" w14:textId="77777777" w:rsidR="00E769C4" w:rsidRPr="00DA3AD4" w:rsidRDefault="00E769C4" w:rsidP="00E769C4">
      <w:pPr>
        <w:numPr>
          <w:ilvl w:val="0"/>
          <w:numId w:val="36"/>
        </w:numPr>
        <w:spacing w:after="160" w:line="259" w:lineRule="auto"/>
      </w:pPr>
      <w:r w:rsidRPr="00DA3AD4">
        <w:t>demonstrate professionalism in their conduct</w:t>
      </w:r>
    </w:p>
    <w:p w14:paraId="301EB4DA" w14:textId="77777777" w:rsidR="00E769C4" w:rsidRPr="00DA3AD4" w:rsidRDefault="00E769C4" w:rsidP="00E769C4">
      <w:pPr>
        <w:numPr>
          <w:ilvl w:val="0"/>
          <w:numId w:val="36"/>
        </w:numPr>
        <w:spacing w:after="160" w:line="259" w:lineRule="auto"/>
      </w:pPr>
      <w:r w:rsidRPr="00DA3AD4">
        <w:t>uphold their obligation to extend a duty of care to other participants.</w:t>
      </w:r>
    </w:p>
    <w:p w14:paraId="250CE49E" w14:textId="77777777" w:rsidR="00E769C4" w:rsidRPr="00DA3AD4" w:rsidRDefault="00E769C4" w:rsidP="00E769C4">
      <w:r w:rsidRPr="00DA3AD4">
        <w:t>If you are a participant who is accepting hospitality, you must also comply with these standards.</w:t>
      </w:r>
    </w:p>
    <w:p w14:paraId="7AAB3791" w14:textId="77777777" w:rsidR="00E769C4" w:rsidRDefault="00E769C4" w:rsidP="00E769C4">
      <w:pPr>
        <w:rPr>
          <w:b/>
          <w:bCs/>
        </w:rPr>
      </w:pPr>
    </w:p>
    <w:p w14:paraId="157FC265" w14:textId="77777777" w:rsidR="00E769C4" w:rsidRPr="001B17F0" w:rsidRDefault="00E769C4" w:rsidP="00E769C4">
      <w:pPr>
        <w:rPr>
          <w:rFonts w:eastAsiaTheme="majorEastAsia" w:cstheme="majorBidi"/>
          <w:b/>
          <w:color w:val="004C97" w:themeColor="accent1"/>
          <w:spacing w:val="10"/>
          <w:sz w:val="28"/>
          <w:szCs w:val="24"/>
        </w:rPr>
      </w:pPr>
      <w:r w:rsidRPr="001B17F0">
        <w:rPr>
          <w:rFonts w:eastAsiaTheme="majorEastAsia" w:cstheme="majorBidi"/>
          <w:b/>
          <w:color w:val="004C97" w:themeColor="accent1"/>
          <w:spacing w:val="10"/>
          <w:sz w:val="28"/>
          <w:szCs w:val="24"/>
        </w:rPr>
        <w:t>Additional obligations for heads of public sector organisations</w:t>
      </w:r>
    </w:p>
    <w:p w14:paraId="615154F6" w14:textId="77777777" w:rsidR="00E769C4" w:rsidRPr="00DA3AD4" w:rsidRDefault="00E769C4" w:rsidP="00E769C4">
      <w:r w:rsidRPr="00DA3AD4">
        <w:t>As the head of a public sector organisation, in addition to the other minimum accountabilities, you must also comply with the following requirements.</w:t>
      </w:r>
    </w:p>
    <w:p w14:paraId="08354B05"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8 – culture and good practice</w:t>
      </w:r>
    </w:p>
    <w:p w14:paraId="7F8BB6A2" w14:textId="77777777" w:rsidR="00E769C4" w:rsidRPr="00DA3AD4" w:rsidRDefault="00E769C4" w:rsidP="00E769C4">
      <w:r w:rsidRPr="00DA3AD4">
        <w:t>You must model good practice and foster a culture of integrity.</w:t>
      </w:r>
    </w:p>
    <w:p w14:paraId="2DEA716B"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9 – policies and processes</w:t>
      </w:r>
    </w:p>
    <w:p w14:paraId="160DE66C" w14:textId="77777777" w:rsidR="00E769C4" w:rsidRPr="00DA3AD4" w:rsidRDefault="00E769C4" w:rsidP="00E769C4">
      <w:r w:rsidRPr="00DA3AD4">
        <w:t>You must establish, implement and review organisational policies and processes for the effective management of gifts, benefits and hospitality.</w:t>
      </w:r>
    </w:p>
    <w:p w14:paraId="2E4D7AD4" w14:textId="77777777" w:rsidR="00E769C4" w:rsidRPr="00DA3AD4" w:rsidRDefault="00E769C4" w:rsidP="00E769C4">
      <w:r w:rsidRPr="00DA3AD4">
        <w:t>Your organisation’s policy must comprehensively address the minimum accountabilities.</w:t>
      </w:r>
    </w:p>
    <w:p w14:paraId="6D6DD654" w14:textId="77777777" w:rsidR="00E769C4" w:rsidRPr="00DA3AD4" w:rsidRDefault="00E769C4" w:rsidP="00E769C4">
      <w:r w:rsidRPr="00DA3AD4">
        <w:t>You must ensure that the requirements in your organisation’s gifts, benefits and hospitality policy are at least as strong as those in the minimum accountabilities.</w:t>
      </w:r>
    </w:p>
    <w:p w14:paraId="29C44103" w14:textId="77777777" w:rsidR="00E769C4" w:rsidRPr="00DA3AD4" w:rsidRDefault="00E769C4" w:rsidP="00E769C4">
      <w:r w:rsidRPr="00DA3AD4">
        <w:t>The VPSC recommends that your organisation:</w:t>
      </w:r>
    </w:p>
    <w:p w14:paraId="68FEEA87" w14:textId="77777777" w:rsidR="00E769C4" w:rsidRPr="00DA3AD4" w:rsidRDefault="00E769C4" w:rsidP="00E769C4">
      <w:pPr>
        <w:numPr>
          <w:ilvl w:val="0"/>
          <w:numId w:val="37"/>
        </w:numPr>
        <w:spacing w:after="160" w:line="259" w:lineRule="auto"/>
      </w:pPr>
      <w:r w:rsidRPr="00DA3AD4">
        <w:t>adopt the gifts benefits and hospitality model policy and model forms published by the VPSC</w:t>
      </w:r>
    </w:p>
    <w:p w14:paraId="1678201A" w14:textId="77777777" w:rsidR="00E769C4" w:rsidRPr="00DA3AD4" w:rsidRDefault="00E769C4" w:rsidP="00E769C4">
      <w:pPr>
        <w:numPr>
          <w:ilvl w:val="0"/>
          <w:numId w:val="37"/>
        </w:numPr>
        <w:spacing w:after="160" w:line="259" w:lineRule="auto"/>
      </w:pPr>
      <w:r w:rsidRPr="00DA3AD4">
        <w:t>where appropriate, adapt them to take into account your organisation’s functions and any requirements in its establishing documentation.</w:t>
      </w:r>
    </w:p>
    <w:p w14:paraId="19743DDE" w14:textId="77777777" w:rsidR="00E769C4" w:rsidRPr="008F0F4C" w:rsidRDefault="00E769C4" w:rsidP="00E769C4">
      <w:pPr>
        <w:rPr>
          <w:b/>
          <w:bCs/>
        </w:rPr>
      </w:pPr>
      <w:r w:rsidRPr="008F0F4C">
        <w:rPr>
          <w:b/>
          <w:bCs/>
        </w:rPr>
        <w:t>When an employee speaks up in good faith</w:t>
      </w:r>
    </w:p>
    <w:p w14:paraId="1B763EE0" w14:textId="77777777" w:rsidR="00E769C4" w:rsidRPr="008F0F4C" w:rsidRDefault="00E769C4" w:rsidP="00E769C4">
      <w:r w:rsidRPr="008F0F4C">
        <w:t>You must ensure that your organisation’s policy and procedures require the organisation to:</w:t>
      </w:r>
    </w:p>
    <w:p w14:paraId="2256C6F5" w14:textId="77777777" w:rsidR="00E769C4" w:rsidRPr="008F0F4C" w:rsidRDefault="00E769C4" w:rsidP="00E769C4">
      <w:pPr>
        <w:numPr>
          <w:ilvl w:val="0"/>
          <w:numId w:val="38"/>
        </w:numPr>
        <w:spacing w:after="160" w:line="259" w:lineRule="auto"/>
      </w:pPr>
      <w:r w:rsidRPr="008F0F4C">
        <w:t>actively support and protect employees who speak up in good faith about a possible breach of the policy</w:t>
      </w:r>
    </w:p>
    <w:p w14:paraId="761B6597" w14:textId="77777777" w:rsidR="00E769C4" w:rsidRPr="008F0F4C" w:rsidRDefault="00E769C4" w:rsidP="00E769C4">
      <w:pPr>
        <w:numPr>
          <w:ilvl w:val="0"/>
          <w:numId w:val="38"/>
        </w:numPr>
        <w:spacing w:after="160" w:line="259" w:lineRule="auto"/>
      </w:pPr>
      <w:r w:rsidRPr="008F0F4C">
        <w:t>take decisive action, including possible disciplinary action, against anyone who discriminates against or victimises an employee who speaks up in good faith</w:t>
      </w:r>
    </w:p>
    <w:p w14:paraId="141541BA" w14:textId="77777777" w:rsidR="00E769C4" w:rsidRPr="008F0F4C" w:rsidRDefault="00E769C4" w:rsidP="00E769C4">
      <w:pPr>
        <w:numPr>
          <w:ilvl w:val="0"/>
          <w:numId w:val="38"/>
        </w:numPr>
        <w:spacing w:after="160" w:line="259" w:lineRule="auto"/>
      </w:pPr>
      <w:r w:rsidRPr="008F0F4C">
        <w:t>respond in a constructive manner to the information provided.</w:t>
      </w:r>
    </w:p>
    <w:p w14:paraId="0E873764"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10 – communicating to employees</w:t>
      </w:r>
    </w:p>
    <w:p w14:paraId="7464C15B" w14:textId="77777777" w:rsidR="00E769C4" w:rsidRPr="008F0F4C" w:rsidRDefault="00E769C4" w:rsidP="00E769C4">
      <w:r w:rsidRPr="008F0F4C">
        <w:t>You must ensure that your organisation’s policy and related processes are communicated effectively to employees.</w:t>
      </w:r>
    </w:p>
    <w:p w14:paraId="585AAB94" w14:textId="77777777" w:rsidR="00E769C4" w:rsidRPr="00DA3AD4" w:rsidRDefault="00E769C4" w:rsidP="00E769C4">
      <w:r w:rsidRPr="008F0F4C">
        <w:t>This includes communicating that a breach of the policy may constitute a breach of a binding code of conduct and, where appropriate, may result in disciplinary action. In some circumstances, a breach may constitute criminal or corrupt conduct.</w:t>
      </w:r>
    </w:p>
    <w:p w14:paraId="29753FC8"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11 – communicating to business associates</w:t>
      </w:r>
    </w:p>
    <w:p w14:paraId="121CAE88" w14:textId="77777777" w:rsidR="00E769C4" w:rsidRPr="00DA3AD4" w:rsidRDefault="00E769C4" w:rsidP="00E769C4">
      <w:r w:rsidRPr="00DA3AD4">
        <w:t>You must ensure that a clear policy position is established and communicated to business associates on the offering of gifts, benefits and hospitality to employees, including the possible repercussions for a business associate acting contrary to the organisation’s policy position.</w:t>
      </w:r>
    </w:p>
    <w:p w14:paraId="716046D5" w14:textId="77777777" w:rsidR="00E769C4" w:rsidRPr="00DA3AD4" w:rsidRDefault="00E769C4" w:rsidP="00E769C4">
      <w:r w:rsidRPr="00DA3AD4">
        <w:t>The information provided to (potential) suppliers should include:</w:t>
      </w:r>
    </w:p>
    <w:p w14:paraId="158A58C3" w14:textId="77777777" w:rsidR="00E769C4" w:rsidRPr="00DA3AD4" w:rsidRDefault="00E769C4" w:rsidP="00E769C4">
      <w:pPr>
        <w:numPr>
          <w:ilvl w:val="0"/>
          <w:numId w:val="39"/>
        </w:numPr>
        <w:spacing w:after="160" w:line="259" w:lineRule="auto"/>
      </w:pPr>
      <w:r w:rsidRPr="00DA3AD4">
        <w:t>what constitutes a gift, benefit or hospitality</w:t>
      </w:r>
    </w:p>
    <w:p w14:paraId="777BDC38" w14:textId="77777777" w:rsidR="00E769C4" w:rsidRPr="00DA3AD4" w:rsidRDefault="00E769C4" w:rsidP="00E769C4">
      <w:pPr>
        <w:numPr>
          <w:ilvl w:val="0"/>
          <w:numId w:val="39"/>
        </w:numPr>
        <w:spacing w:after="160" w:line="259" w:lineRule="auto"/>
      </w:pPr>
      <w:r w:rsidRPr="00DA3AD4">
        <w:t>the organisation’s policy</w:t>
      </w:r>
    </w:p>
    <w:p w14:paraId="65BC5710" w14:textId="77777777" w:rsidR="00E769C4" w:rsidRPr="00DA3AD4" w:rsidRDefault="00E769C4" w:rsidP="00E769C4">
      <w:pPr>
        <w:numPr>
          <w:ilvl w:val="0"/>
          <w:numId w:val="39"/>
        </w:numPr>
        <w:spacing w:after="160" w:line="259" w:lineRule="auto"/>
      </w:pPr>
      <w:r w:rsidRPr="00DA3AD4">
        <w:t>that the organisation discourages the making of offers</w:t>
      </w:r>
    </w:p>
    <w:p w14:paraId="0564F16F" w14:textId="77777777" w:rsidR="00E769C4" w:rsidRPr="00DA3AD4" w:rsidRDefault="00E769C4" w:rsidP="00E769C4">
      <w:pPr>
        <w:numPr>
          <w:ilvl w:val="0"/>
          <w:numId w:val="39"/>
        </w:numPr>
        <w:spacing w:after="160" w:line="259" w:lineRule="auto"/>
      </w:pPr>
      <w:r w:rsidRPr="00DA3AD4">
        <w:t>any whole of Victorian Government supplier codes of conduct.</w:t>
      </w:r>
    </w:p>
    <w:p w14:paraId="0C8EE307"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12 – reports to audit committee</w:t>
      </w:r>
    </w:p>
    <w:p w14:paraId="60A843C1" w14:textId="77777777" w:rsidR="00E769C4" w:rsidRPr="00DA3AD4" w:rsidRDefault="00E769C4" w:rsidP="00E769C4">
      <w:r w:rsidRPr="00DA3AD4">
        <w:t>You must report at least annually to the organisation’s audit committee on the administration and quality control of its gifts, benefits and hospitality policy, processes and internal register.</w:t>
      </w:r>
    </w:p>
    <w:p w14:paraId="323C3681" w14:textId="77777777" w:rsidR="00E769C4" w:rsidRPr="00DA3AD4" w:rsidRDefault="00E769C4" w:rsidP="00E769C4">
      <w:r w:rsidRPr="00DA3AD4">
        <w:t>This report must include a copy of the internal register, analysis of the organisation’s gifts, benefits and hospitality risks (including repeat offers from the same source and offers from business associates), risk mitigation measures and any proposed improvements.</w:t>
      </w:r>
    </w:p>
    <w:p w14:paraId="4B03C236"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13 – internal register</w:t>
      </w:r>
    </w:p>
    <w:p w14:paraId="6A3E792A" w14:textId="77777777" w:rsidR="00E769C4" w:rsidRPr="00DA3AD4" w:rsidRDefault="00E769C4" w:rsidP="00E769C4">
      <w:r w:rsidRPr="00DA3AD4">
        <w:t>You must ensure that an official internal register of non-token gifts, benefits and hospitality offered to employees is established and maintained.</w:t>
      </w:r>
    </w:p>
    <w:p w14:paraId="79BB4182" w14:textId="77777777" w:rsidR="00E769C4" w:rsidRPr="00DA3AD4" w:rsidRDefault="00E769C4" w:rsidP="00E769C4">
      <w:r w:rsidRPr="00DA3AD4">
        <w:t>At a minimum, the register must record sufficient information to:</w:t>
      </w:r>
    </w:p>
    <w:p w14:paraId="1FCCFEBB" w14:textId="77777777" w:rsidR="00E769C4" w:rsidRPr="00DA3AD4" w:rsidRDefault="00E769C4" w:rsidP="00E769C4">
      <w:pPr>
        <w:numPr>
          <w:ilvl w:val="0"/>
          <w:numId w:val="40"/>
        </w:numPr>
        <w:spacing w:after="160" w:line="259" w:lineRule="auto"/>
      </w:pPr>
      <w:r w:rsidRPr="00DA3AD4">
        <w:t>effectively monitor, assess and report on the minimum accountabilities,</w:t>
      </w:r>
    </w:p>
    <w:p w14:paraId="165511FF" w14:textId="77777777" w:rsidR="00E769C4" w:rsidRPr="00DA3AD4" w:rsidRDefault="00E769C4" w:rsidP="00E769C4">
      <w:pPr>
        <w:numPr>
          <w:ilvl w:val="0"/>
          <w:numId w:val="40"/>
        </w:numPr>
        <w:spacing w:after="160" w:line="259" w:lineRule="auto"/>
      </w:pPr>
      <w:r w:rsidRPr="00DA3AD4">
        <w:t>meet the information requirements for the public register.</w:t>
      </w:r>
    </w:p>
    <w:p w14:paraId="58A010BE" w14:textId="77777777" w:rsidR="00E769C4" w:rsidRPr="008F0F4C" w:rsidRDefault="00E769C4" w:rsidP="00E769C4">
      <w:pPr>
        <w:rPr>
          <w:rFonts w:eastAsiaTheme="majorEastAsia" w:cstheme="majorBidi"/>
          <w:bCs/>
          <w:color w:val="004C97" w:themeColor="accent1"/>
          <w:spacing w:val="10"/>
          <w:sz w:val="24"/>
          <w:szCs w:val="24"/>
        </w:rPr>
      </w:pPr>
      <w:r w:rsidRPr="008F0F4C">
        <w:rPr>
          <w:rFonts w:eastAsiaTheme="majorEastAsia" w:cstheme="majorBidi"/>
          <w:bCs/>
          <w:color w:val="004C97" w:themeColor="accent1"/>
          <w:spacing w:val="10"/>
          <w:sz w:val="24"/>
          <w:szCs w:val="24"/>
        </w:rPr>
        <w:t>Minimum accountability 14 – publishing organisation’s policy and the public register</w:t>
      </w:r>
    </w:p>
    <w:p w14:paraId="0FAF3034" w14:textId="77777777" w:rsidR="00E769C4" w:rsidRPr="00DA3AD4" w:rsidRDefault="00E769C4" w:rsidP="00E769C4">
      <w:r w:rsidRPr="00DA3AD4">
        <w:t>You must ensure that the following documents are available to the public:</w:t>
      </w:r>
    </w:p>
    <w:p w14:paraId="4ED8F2F0" w14:textId="77777777" w:rsidR="00E769C4" w:rsidRPr="00DA3AD4" w:rsidRDefault="00E769C4" w:rsidP="00E769C4">
      <w:pPr>
        <w:numPr>
          <w:ilvl w:val="0"/>
          <w:numId w:val="41"/>
        </w:numPr>
        <w:spacing w:after="160" w:line="259" w:lineRule="auto"/>
      </w:pPr>
      <w:r w:rsidRPr="00DA3AD4">
        <w:t>your organisation’s gifts, benefit and hospitality policy</w:t>
      </w:r>
    </w:p>
    <w:p w14:paraId="73ECB5EE" w14:textId="77777777" w:rsidR="00E769C4" w:rsidRPr="00DA3AD4" w:rsidRDefault="00E769C4" w:rsidP="00E769C4">
      <w:pPr>
        <w:numPr>
          <w:ilvl w:val="0"/>
          <w:numId w:val="41"/>
        </w:numPr>
        <w:spacing w:after="160" w:line="259" w:lineRule="auto"/>
      </w:pPr>
      <w:r w:rsidRPr="00DA3AD4">
        <w:t>the public register of reportable gift offers received.</w:t>
      </w:r>
    </w:p>
    <w:p w14:paraId="5B0C5602" w14:textId="77777777" w:rsidR="00E769C4" w:rsidRPr="00DA3AD4" w:rsidRDefault="00E769C4" w:rsidP="00E769C4">
      <w:r w:rsidRPr="00DA3AD4">
        <w:t>If your organisation has an external website the policy and public register must be published on it. If no public website exists, other reasonable arrangements must be made to ensure the information is available to the public.</w:t>
      </w:r>
    </w:p>
    <w:p w14:paraId="034C6FF5" w14:textId="77777777" w:rsidR="00E769C4" w:rsidRPr="00DA3AD4" w:rsidRDefault="00E769C4" w:rsidP="00E769C4">
      <w:r w:rsidRPr="00DA3AD4">
        <w:t>The public register should cover the previous financial year and be published within four months of each new financial year.</w:t>
      </w:r>
    </w:p>
    <w:p w14:paraId="266FCCB1" w14:textId="77777777" w:rsidR="00E769C4" w:rsidRPr="00DA3AD4" w:rsidRDefault="00E769C4" w:rsidP="00E769C4">
      <w:r w:rsidRPr="00DA3AD4">
        <w:t>The public register must at a minimum contain the following reportable information:</w:t>
      </w:r>
    </w:p>
    <w:p w14:paraId="2A0C6F1B" w14:textId="77777777" w:rsidR="00E769C4" w:rsidRPr="00DA3AD4" w:rsidRDefault="00E769C4" w:rsidP="00E769C4">
      <w:pPr>
        <w:numPr>
          <w:ilvl w:val="0"/>
          <w:numId w:val="42"/>
        </w:numPr>
        <w:spacing w:after="160" w:line="259" w:lineRule="auto"/>
      </w:pPr>
      <w:r w:rsidRPr="00DA3AD4">
        <w:t>all non-token offers, whether they were accepted or not</w:t>
      </w:r>
    </w:p>
    <w:p w14:paraId="3A0F3042" w14:textId="77777777" w:rsidR="00E769C4" w:rsidRPr="00DA3AD4" w:rsidRDefault="00E769C4" w:rsidP="00E769C4">
      <w:pPr>
        <w:numPr>
          <w:ilvl w:val="0"/>
          <w:numId w:val="42"/>
        </w:numPr>
        <w:spacing w:after="160" w:line="259" w:lineRule="auto"/>
      </w:pPr>
      <w:r w:rsidRPr="00DA3AD4">
        <w:t>the date each non-token offer was made</w:t>
      </w:r>
    </w:p>
    <w:p w14:paraId="73BB1875" w14:textId="77777777" w:rsidR="00E769C4" w:rsidRPr="00DA3AD4" w:rsidRDefault="00E769C4" w:rsidP="00E769C4">
      <w:pPr>
        <w:numPr>
          <w:ilvl w:val="0"/>
          <w:numId w:val="42"/>
        </w:numPr>
        <w:spacing w:after="160" w:line="259" w:lineRule="auto"/>
      </w:pPr>
      <w:r w:rsidRPr="00DA3AD4">
        <w:t>the position of the recipient</w:t>
      </w:r>
    </w:p>
    <w:p w14:paraId="6BA64174" w14:textId="77777777" w:rsidR="00E769C4" w:rsidRPr="00DA3AD4" w:rsidRDefault="00E769C4" w:rsidP="00E769C4">
      <w:pPr>
        <w:numPr>
          <w:ilvl w:val="0"/>
          <w:numId w:val="42"/>
        </w:numPr>
        <w:spacing w:after="160" w:line="259" w:lineRule="auto"/>
      </w:pPr>
      <w:r w:rsidRPr="00DA3AD4">
        <w:t>the position and organisation of the person making each offer</w:t>
      </w:r>
    </w:p>
    <w:p w14:paraId="6429F035" w14:textId="77777777" w:rsidR="00E769C4" w:rsidRPr="00DA3AD4" w:rsidRDefault="00E769C4" w:rsidP="00E769C4">
      <w:pPr>
        <w:numPr>
          <w:ilvl w:val="0"/>
          <w:numId w:val="42"/>
        </w:numPr>
        <w:spacing w:after="160" w:line="259" w:lineRule="auto"/>
      </w:pPr>
      <w:r w:rsidRPr="00DA3AD4">
        <w:t>where possible, whether the offeror is a business associate of the organisation</w:t>
      </w:r>
    </w:p>
    <w:p w14:paraId="37F0FED7" w14:textId="77777777" w:rsidR="00E769C4" w:rsidRPr="00DA3AD4" w:rsidRDefault="00E769C4" w:rsidP="00E769C4">
      <w:pPr>
        <w:numPr>
          <w:ilvl w:val="0"/>
          <w:numId w:val="42"/>
        </w:numPr>
        <w:spacing w:after="160" w:line="259" w:lineRule="auto"/>
      </w:pPr>
      <w:r w:rsidRPr="00DA3AD4">
        <w:t>a description of each offer and its value</w:t>
      </w:r>
    </w:p>
    <w:p w14:paraId="336D52ED" w14:textId="77777777" w:rsidR="00E769C4" w:rsidRPr="00DA3AD4" w:rsidRDefault="00E769C4" w:rsidP="00E769C4">
      <w:pPr>
        <w:numPr>
          <w:ilvl w:val="0"/>
          <w:numId w:val="42"/>
        </w:numPr>
        <w:spacing w:after="160" w:line="259" w:lineRule="auto"/>
      </w:pPr>
      <w:r w:rsidRPr="00DA3AD4">
        <w:t>whether the offer was accepted or declined.</w:t>
      </w:r>
    </w:p>
    <w:p w14:paraId="04131941" w14:textId="77777777" w:rsidR="00E769C4" w:rsidRPr="00DA3AD4" w:rsidRDefault="00E769C4" w:rsidP="00E769C4">
      <w:pPr>
        <w:numPr>
          <w:ilvl w:val="0"/>
          <w:numId w:val="42"/>
        </w:numPr>
        <w:spacing w:after="160" w:line="259" w:lineRule="auto"/>
      </w:pPr>
      <w:r w:rsidRPr="00DA3AD4">
        <w:t>if accepted, the business reason for doing so.</w:t>
      </w:r>
    </w:p>
    <w:p w14:paraId="1123BE40" w14:textId="77777777" w:rsidR="000611DE" w:rsidRPr="005E762C" w:rsidRDefault="000611DE" w:rsidP="000611DE">
      <w:pPr>
        <w:rPr>
          <w:rFonts w:asciiTheme="minorHAnsi" w:hAnsiTheme="minorHAnsi" w:cstheme="minorHAnsi"/>
        </w:rPr>
      </w:pPr>
    </w:p>
    <w:p w14:paraId="23465200" w14:textId="77777777" w:rsidR="000611DE" w:rsidRPr="005E762C" w:rsidRDefault="000611DE" w:rsidP="000611DE">
      <w:pPr>
        <w:pStyle w:val="BodyText"/>
        <w:rPr>
          <w:rFonts w:asciiTheme="minorHAnsi" w:hAnsiTheme="minorHAnsi" w:cstheme="minorHAnsi"/>
        </w:rPr>
      </w:pPr>
    </w:p>
    <w:sectPr w:rsidR="000611DE" w:rsidRPr="005E762C" w:rsidSect="005262D7">
      <w:headerReference w:type="first" r:id="rId30"/>
      <w:type w:val="continuous"/>
      <w:pgSz w:w="11906" w:h="16838" w:code="9"/>
      <w:pgMar w:top="1134" w:right="1134" w:bottom="1134" w:left="1134" w:header="567" w:footer="624"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B57F" w14:textId="77777777" w:rsidR="00644551" w:rsidRDefault="00644551" w:rsidP="009964E7">
      <w:r>
        <w:separator/>
      </w:r>
    </w:p>
    <w:p w14:paraId="6252817B" w14:textId="77777777" w:rsidR="00644551" w:rsidRDefault="00644551"/>
    <w:p w14:paraId="123E3C4E" w14:textId="77777777" w:rsidR="00644551" w:rsidRDefault="00644551"/>
  </w:endnote>
  <w:endnote w:type="continuationSeparator" w:id="0">
    <w:p w14:paraId="1AEBAFD9" w14:textId="77777777" w:rsidR="00644551" w:rsidRDefault="00644551" w:rsidP="009964E7">
      <w:r>
        <w:continuationSeparator/>
      </w:r>
    </w:p>
    <w:p w14:paraId="5EC5E4EF" w14:textId="77777777" w:rsidR="00644551" w:rsidRDefault="00644551"/>
    <w:p w14:paraId="68EC7B24" w14:textId="77777777" w:rsidR="00644551" w:rsidRDefault="00644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ijoa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ABF9" w14:textId="77777777" w:rsidR="00AB6DD7" w:rsidRDefault="00AB6DD7" w:rsidP="004B7FE1">
    <w:pPr>
      <w:pStyle w:val="Footer"/>
    </w:pPr>
    <w:r>
      <w:rPr>
        <w:rStyle w:val="PageNumber"/>
      </w:rPr>
      <w:fldChar w:fldCharType="begin"/>
    </w:r>
    <w:r>
      <w:rPr>
        <w:rStyle w:val="PageNumber"/>
      </w:rPr>
      <w:instrText xml:space="preserve"> PAGE </w:instrText>
    </w:r>
    <w:r>
      <w:rPr>
        <w:rStyle w:val="PageNumber"/>
      </w:rPr>
      <w:fldChar w:fldCharType="separate"/>
    </w:r>
    <w:r w:rsidR="005262D7">
      <w:rPr>
        <w:rStyle w:val="PageNumber"/>
        <w:noProof/>
      </w:rPr>
      <w:t>2</w:t>
    </w:r>
    <w:r>
      <w:rPr>
        <w:rStyle w:val="PageNumber"/>
      </w:rPr>
      <w:fldChar w:fldCharType="end"/>
    </w:r>
    <w:r>
      <w:rPr>
        <w:rStyle w:val="PageNumber"/>
      </w:rPr>
      <w:t xml:space="preserve">   |  </w:t>
    </w:r>
    <w:fldSimple w:instr=" STYLEREF  CoverTitle ">
      <w:r w:rsidR="004A3BA6">
        <w:rPr>
          <w:noProof/>
        </w:rPr>
        <w:t>Name of Procedure / Policy / Guideline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DABA" w14:textId="4FE8744F" w:rsidR="00AB6DD7" w:rsidRDefault="0056672F" w:rsidP="004B7FE1">
    <w:pPr>
      <w:pStyle w:val="Footer"/>
    </w:pPr>
    <w:fldSimple w:instr=" STYLEREF  CoverTitle ">
      <w:r w:rsidR="000B26FD">
        <w:rPr>
          <w:noProof/>
        </w:rPr>
        <w:t>Gifts, Benefits and Hospitality Policy</w:t>
      </w:r>
    </w:fldSimple>
    <w:r w:rsidR="00AB6DD7">
      <w:t xml:space="preserve">  |  </w:t>
    </w:r>
    <w:r w:rsidR="00AB6DD7" w:rsidRPr="005D6F45">
      <w:rPr>
        <w:rStyle w:val="PageNumber"/>
        <w:b/>
        <w:bCs/>
      </w:rPr>
      <w:fldChar w:fldCharType="begin"/>
    </w:r>
    <w:r w:rsidR="00AB6DD7" w:rsidRPr="005D6F45">
      <w:rPr>
        <w:rStyle w:val="PageNumber"/>
        <w:b/>
        <w:bCs/>
      </w:rPr>
      <w:instrText xml:space="preserve"> PAGE </w:instrText>
    </w:r>
    <w:r w:rsidR="00AB6DD7" w:rsidRPr="005D6F45">
      <w:rPr>
        <w:rStyle w:val="PageNumber"/>
        <w:b/>
        <w:bCs/>
      </w:rPr>
      <w:fldChar w:fldCharType="separate"/>
    </w:r>
    <w:r w:rsidR="000611DE">
      <w:rPr>
        <w:rStyle w:val="PageNumber"/>
        <w:b/>
        <w:bCs/>
        <w:noProof/>
      </w:rPr>
      <w:t>12</w:t>
    </w:r>
    <w:r w:rsidR="00AB6DD7" w:rsidRPr="005D6F45">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CAD9" w14:textId="68DBCB63" w:rsidR="00AB6DD7" w:rsidRPr="005D6F45" w:rsidRDefault="0056672F" w:rsidP="005D6F45">
    <w:pPr>
      <w:pStyle w:val="Footer"/>
    </w:pPr>
    <w:fldSimple w:instr=" STYLEREF  CoverTitle ">
      <w:r w:rsidR="00644551">
        <w:rPr>
          <w:noProof/>
        </w:rPr>
        <w:t>Gifts, Benefits and Hospitality Policy</w:t>
      </w:r>
    </w:fldSimple>
    <w:r w:rsidR="005D6F45">
      <w:rPr>
        <w:noProof/>
      </w:rPr>
      <w:t xml:space="preserve">  |  </w:t>
    </w:r>
    <w:r w:rsidR="005D6F45" w:rsidRPr="005D6F45">
      <w:rPr>
        <w:rStyle w:val="PageNumber"/>
        <w:b/>
        <w:bCs/>
      </w:rPr>
      <w:fldChar w:fldCharType="begin"/>
    </w:r>
    <w:r w:rsidR="005D6F45" w:rsidRPr="005D6F45">
      <w:rPr>
        <w:rStyle w:val="PageNumber"/>
        <w:b/>
        <w:bCs/>
      </w:rPr>
      <w:instrText xml:space="preserve"> PAGE </w:instrText>
    </w:r>
    <w:r w:rsidR="005D6F45" w:rsidRPr="005D6F45">
      <w:rPr>
        <w:rStyle w:val="PageNumber"/>
        <w:b/>
        <w:bCs/>
      </w:rPr>
      <w:fldChar w:fldCharType="separate"/>
    </w:r>
    <w:r w:rsidR="000611DE">
      <w:rPr>
        <w:rStyle w:val="PageNumber"/>
        <w:b/>
        <w:bCs/>
        <w:noProof/>
      </w:rPr>
      <w:t>1</w:t>
    </w:r>
    <w:r w:rsidR="005D6F45" w:rsidRPr="005D6F45">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D079" w14:textId="77777777" w:rsidR="00644551" w:rsidRDefault="00644551" w:rsidP="009964E7">
      <w:r>
        <w:separator/>
      </w:r>
    </w:p>
    <w:p w14:paraId="1CDB6489" w14:textId="77777777" w:rsidR="00644551" w:rsidRDefault="00644551"/>
    <w:p w14:paraId="27ACA68D" w14:textId="77777777" w:rsidR="00644551" w:rsidRDefault="00644551"/>
  </w:footnote>
  <w:footnote w:type="continuationSeparator" w:id="0">
    <w:p w14:paraId="7810A4A1" w14:textId="77777777" w:rsidR="00644551" w:rsidRDefault="00644551" w:rsidP="009964E7">
      <w:r>
        <w:continuationSeparator/>
      </w:r>
    </w:p>
    <w:p w14:paraId="3188AB53" w14:textId="77777777" w:rsidR="00644551" w:rsidRDefault="00644551"/>
    <w:p w14:paraId="63216C49" w14:textId="77777777" w:rsidR="00644551" w:rsidRDefault="00644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557D" w14:textId="77777777" w:rsidR="00050B99" w:rsidRPr="00195E2A" w:rsidRDefault="00195E2A" w:rsidP="00195E2A">
    <w:pPr>
      <w:pStyle w:val="BodyText"/>
      <w:rPr>
        <w:bCs/>
        <w:color w:val="004C97" w:themeColor="accent1"/>
        <w:spacing w:val="8"/>
      </w:rPr>
    </w:pPr>
    <w:r w:rsidRPr="00CD7733">
      <w:rPr>
        <w:b/>
        <w:bCs/>
        <w:color w:val="004C97" w:themeColor="accent1"/>
        <w:spacing w:val="8"/>
        <w:sz w:val="17"/>
        <w:szCs w:val="17"/>
      </w:rPr>
      <w:t>RELIANCE SHOULD NOT BE PLACED ON THIS PRINTED COPY WITHOUT CHECKING THE ELECTRONIC VERSION FOR CURRENCY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193A" w14:textId="77777777" w:rsidR="008D0507" w:rsidRPr="007F411F" w:rsidRDefault="008D0507" w:rsidP="007F411F">
    <w:pPr>
      <w:pStyle w:val="Header"/>
    </w:pPr>
    <w:r w:rsidRPr="007F411F">
      <w:t>RELIANCE SHOULD NOT BE PLACED ON THIS PRINTED COPY WITHOUT CHECKING THE ELECTRONIC VERSION FOR CURRENCY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23C3" w14:textId="77777777" w:rsidR="00AB6DD7" w:rsidRDefault="00AB6DD7">
    <w:pPr>
      <w:pStyle w:val="Header"/>
    </w:pPr>
    <w:r>
      <w:rPr>
        <w:noProof/>
      </w:rPr>
      <w:drawing>
        <wp:anchor distT="0" distB="0" distL="114300" distR="114300" simplePos="0" relativeHeight="251659264" behindDoc="1" locked="1" layoutInCell="1" allowOverlap="0" wp14:anchorId="35743F4F" wp14:editId="47AD8839">
          <wp:simplePos x="0" y="0"/>
          <wp:positionH relativeFrom="page">
            <wp:posOffset>5700395</wp:posOffset>
          </wp:positionH>
          <wp:positionV relativeFrom="page">
            <wp:posOffset>457200</wp:posOffset>
          </wp:positionV>
          <wp:extent cx="1243965" cy="802640"/>
          <wp:effectExtent l="0" t="0" r="63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3965"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CA9" w14:textId="77777777" w:rsidR="00AB6DD7" w:rsidRDefault="00AB6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20A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98DA60B8"/>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15:restartNumberingAfterBreak="0">
    <w:nsid w:val="02203B8F"/>
    <w:multiLevelType w:val="multilevel"/>
    <w:tmpl w:val="3604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E461F"/>
    <w:multiLevelType w:val="hybridMultilevel"/>
    <w:tmpl w:val="93B04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754F0A"/>
    <w:multiLevelType w:val="hybridMultilevel"/>
    <w:tmpl w:val="DB58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887FF4"/>
    <w:multiLevelType w:val="multilevel"/>
    <w:tmpl w:val="07BC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04ADC"/>
    <w:multiLevelType w:val="hybridMultilevel"/>
    <w:tmpl w:val="833899C4"/>
    <w:lvl w:ilvl="0" w:tplc="270A0C3A">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D7468E"/>
    <w:multiLevelType w:val="hybridMultilevel"/>
    <w:tmpl w:val="D93C5F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7D1A82"/>
    <w:multiLevelType w:val="multilevel"/>
    <w:tmpl w:val="382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C690F"/>
    <w:multiLevelType w:val="multilevel"/>
    <w:tmpl w:val="5EA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A69D6"/>
    <w:multiLevelType w:val="multilevel"/>
    <w:tmpl w:val="238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19F7B95"/>
    <w:multiLevelType w:val="multilevel"/>
    <w:tmpl w:val="C18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50957"/>
    <w:multiLevelType w:val="hybridMultilevel"/>
    <w:tmpl w:val="7CB6EB2C"/>
    <w:lvl w:ilvl="0" w:tplc="A25294E0">
      <w:start w:val="1"/>
      <w:numFmt w:val="bullet"/>
      <w:pStyle w:val="Bullet1VPSC"/>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265682E"/>
    <w:multiLevelType w:val="multilevel"/>
    <w:tmpl w:val="98FA5DF2"/>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11298C"/>
    <w:multiLevelType w:val="hybridMultilevel"/>
    <w:tmpl w:val="47AAC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749FD"/>
    <w:multiLevelType w:val="hybridMultilevel"/>
    <w:tmpl w:val="5F34A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C322E"/>
    <w:multiLevelType w:val="hybridMultilevel"/>
    <w:tmpl w:val="AB848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AC137D"/>
    <w:multiLevelType w:val="hybridMultilevel"/>
    <w:tmpl w:val="9E3C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5A1767B6"/>
    <w:multiLevelType w:val="multilevel"/>
    <w:tmpl w:val="42D091F0"/>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C192A3E4"/>
    <w:lvl w:ilvl="0" w:tplc="FE661EF8">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62301B09"/>
    <w:multiLevelType w:val="multilevel"/>
    <w:tmpl w:val="A82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55697"/>
    <w:multiLevelType w:val="hybridMultilevel"/>
    <w:tmpl w:val="426EF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5D28FA"/>
    <w:multiLevelType w:val="multilevel"/>
    <w:tmpl w:val="581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649E9"/>
    <w:multiLevelType w:val="multilevel"/>
    <w:tmpl w:val="8D0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D0A561F"/>
    <w:multiLevelType w:val="multilevel"/>
    <w:tmpl w:val="5CDE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0232A"/>
    <w:multiLevelType w:val="hybridMultilevel"/>
    <w:tmpl w:val="5A0E5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3B0CF5"/>
    <w:multiLevelType w:val="hybridMultilevel"/>
    <w:tmpl w:val="17DEE6C2"/>
    <w:lvl w:ilvl="0" w:tplc="0748901E">
      <w:start w:val="1"/>
      <w:numFmt w:val="bullet"/>
      <w:lvlText w:val=""/>
      <w:lvlJc w:val="left"/>
      <w:pPr>
        <w:ind w:left="1514" w:hanging="360"/>
      </w:pPr>
      <w:rPr>
        <w:rFonts w:ascii="Wingdings" w:hAnsi="Wingdings" w:hint="default"/>
      </w:rPr>
    </w:lvl>
    <w:lvl w:ilvl="1" w:tplc="654EB6EA">
      <w:start w:val="1"/>
      <w:numFmt w:val="bullet"/>
      <w:pStyle w:val="ListBullet3"/>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7BD6747"/>
    <w:multiLevelType w:val="hybridMultilevel"/>
    <w:tmpl w:val="97ECD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7C19F7"/>
    <w:multiLevelType w:val="multilevel"/>
    <w:tmpl w:val="A2F4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933257">
    <w:abstractNumId w:val="5"/>
  </w:num>
  <w:num w:numId="2" w16cid:durableId="833841929">
    <w:abstractNumId w:val="4"/>
  </w:num>
  <w:num w:numId="3" w16cid:durableId="1673029298">
    <w:abstractNumId w:val="3"/>
  </w:num>
  <w:num w:numId="4" w16cid:durableId="1880702373">
    <w:abstractNumId w:val="2"/>
  </w:num>
  <w:num w:numId="5" w16cid:durableId="351688875">
    <w:abstractNumId w:val="21"/>
    <w:lvlOverride w:ilvl="0">
      <w:lvl w:ilvl="0">
        <w:start w:val="1"/>
        <w:numFmt w:val="bullet"/>
        <w:pStyle w:val="ListBullet"/>
        <w:lvlText w:val=""/>
        <w:lvlJc w:val="left"/>
        <w:pPr>
          <w:tabs>
            <w:tab w:val="num" w:pos="199"/>
          </w:tabs>
          <w:ind w:left="199" w:hanging="199"/>
        </w:pPr>
        <w:rPr>
          <w:rFonts w:ascii="Symbol" w:hAnsi="Symbol" w:hint="default"/>
        </w:rPr>
      </w:lvl>
    </w:lvlOverride>
  </w:num>
  <w:num w:numId="6" w16cid:durableId="872159411">
    <w:abstractNumId w:val="16"/>
  </w:num>
  <w:num w:numId="7" w16cid:durableId="1451587450">
    <w:abstractNumId w:val="16"/>
  </w:num>
  <w:num w:numId="8" w16cid:durableId="1231965816">
    <w:abstractNumId w:val="15"/>
  </w:num>
  <w:num w:numId="9" w16cid:durableId="716048539">
    <w:abstractNumId w:val="27"/>
  </w:num>
  <w:num w:numId="10" w16cid:durableId="1950702272">
    <w:abstractNumId w:val="20"/>
  </w:num>
  <w:num w:numId="11" w16cid:durableId="1544975329">
    <w:abstractNumId w:val="19"/>
  </w:num>
  <w:num w:numId="12" w16cid:durableId="1335837220">
    <w:abstractNumId w:val="29"/>
  </w:num>
  <w:num w:numId="13" w16cid:durableId="1542594043">
    <w:abstractNumId w:val="1"/>
  </w:num>
  <w:num w:numId="14" w16cid:durableId="1572501640">
    <w:abstractNumId w:val="26"/>
  </w:num>
  <w:num w:numId="15" w16cid:durableId="1084111664">
    <w:abstractNumId w:val="34"/>
  </w:num>
  <w:num w:numId="16" w16cid:durableId="975766649">
    <w:abstractNumId w:val="37"/>
  </w:num>
  <w:num w:numId="17" w16cid:durableId="1486967781">
    <w:abstractNumId w:val="28"/>
  </w:num>
  <w:num w:numId="18" w16cid:durableId="236945192">
    <w:abstractNumId w:val="0"/>
  </w:num>
  <w:num w:numId="19" w16cid:durableId="1487629520">
    <w:abstractNumId w:val="21"/>
  </w:num>
  <w:num w:numId="20" w16cid:durableId="595137724">
    <w:abstractNumId w:val="18"/>
  </w:num>
  <w:num w:numId="21" w16cid:durableId="1130827446">
    <w:abstractNumId w:val="10"/>
  </w:num>
  <w:num w:numId="22" w16cid:durableId="468406170">
    <w:abstractNumId w:val="11"/>
  </w:num>
  <w:num w:numId="23" w16cid:durableId="1270239008">
    <w:abstractNumId w:val="24"/>
  </w:num>
  <w:num w:numId="24" w16cid:durableId="1789153831">
    <w:abstractNumId w:val="25"/>
  </w:num>
  <w:num w:numId="25" w16cid:durableId="656420037">
    <w:abstractNumId w:val="22"/>
  </w:num>
  <w:num w:numId="26" w16cid:durableId="160512249">
    <w:abstractNumId w:val="38"/>
  </w:num>
  <w:num w:numId="27" w16cid:durableId="604114213">
    <w:abstractNumId w:val="36"/>
  </w:num>
  <w:num w:numId="28" w16cid:durableId="635064333">
    <w:abstractNumId w:val="23"/>
  </w:num>
  <w:num w:numId="29" w16cid:durableId="213588246">
    <w:abstractNumId w:val="7"/>
  </w:num>
  <w:num w:numId="30" w16cid:durableId="1813405478">
    <w:abstractNumId w:val="8"/>
  </w:num>
  <w:num w:numId="31" w16cid:durableId="2049795231">
    <w:abstractNumId w:val="31"/>
  </w:num>
  <w:num w:numId="32" w16cid:durableId="1224681310">
    <w:abstractNumId w:val="14"/>
  </w:num>
  <w:num w:numId="33" w16cid:durableId="528572574">
    <w:abstractNumId w:val="9"/>
  </w:num>
  <w:num w:numId="34" w16cid:durableId="2092268782">
    <w:abstractNumId w:val="30"/>
  </w:num>
  <w:num w:numId="35" w16cid:durableId="1402170045">
    <w:abstractNumId w:val="12"/>
  </w:num>
  <w:num w:numId="36" w16cid:durableId="21248940">
    <w:abstractNumId w:val="17"/>
  </w:num>
  <w:num w:numId="37" w16cid:durableId="1036467157">
    <w:abstractNumId w:val="32"/>
  </w:num>
  <w:num w:numId="38" w16cid:durableId="1101757945">
    <w:abstractNumId w:val="13"/>
  </w:num>
  <w:num w:numId="39" w16cid:durableId="1168331800">
    <w:abstractNumId w:val="39"/>
  </w:num>
  <w:num w:numId="40" w16cid:durableId="1183208856">
    <w:abstractNumId w:val="33"/>
  </w:num>
  <w:num w:numId="41" w16cid:durableId="398066026">
    <w:abstractNumId w:val="6"/>
  </w:num>
  <w:num w:numId="42" w16cid:durableId="87315737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drawingGridHorizontalSpacing w:val="110"/>
  <w:displayHorizontalDrawingGridEvery w:val="2"/>
  <w:displayVerticalDrawingGridEvery w:val="2"/>
  <w:doNotShadeFormData/>
  <w:characterSpacingControl w:val="doNotCompress"/>
  <w:savePreviewPicture/>
  <w:hdrShapeDefaults>
    <o:shapedefaults v:ext="edit" spidmax="2050" style="mso-position-vertical-relative:page;v-text-anchor:bottom"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4A3BA6"/>
    <w:rsid w:val="00000EEA"/>
    <w:rsid w:val="00001864"/>
    <w:rsid w:val="00002AA7"/>
    <w:rsid w:val="000031E1"/>
    <w:rsid w:val="00007308"/>
    <w:rsid w:val="00011FC6"/>
    <w:rsid w:val="000126EB"/>
    <w:rsid w:val="00015E82"/>
    <w:rsid w:val="00016FEA"/>
    <w:rsid w:val="0001775B"/>
    <w:rsid w:val="00022CFC"/>
    <w:rsid w:val="00024F6E"/>
    <w:rsid w:val="00025FD5"/>
    <w:rsid w:val="0002686D"/>
    <w:rsid w:val="000312EA"/>
    <w:rsid w:val="000316D4"/>
    <w:rsid w:val="0003217B"/>
    <w:rsid w:val="00032C10"/>
    <w:rsid w:val="000331D4"/>
    <w:rsid w:val="000414A9"/>
    <w:rsid w:val="00042A1A"/>
    <w:rsid w:val="00043876"/>
    <w:rsid w:val="000443E1"/>
    <w:rsid w:val="00046533"/>
    <w:rsid w:val="0005048B"/>
    <w:rsid w:val="000505ED"/>
    <w:rsid w:val="00050B99"/>
    <w:rsid w:val="00051219"/>
    <w:rsid w:val="00051456"/>
    <w:rsid w:val="000517F2"/>
    <w:rsid w:val="0005226F"/>
    <w:rsid w:val="0005371F"/>
    <w:rsid w:val="00053E83"/>
    <w:rsid w:val="00054924"/>
    <w:rsid w:val="00056FD0"/>
    <w:rsid w:val="000611DE"/>
    <w:rsid w:val="00061541"/>
    <w:rsid w:val="00064612"/>
    <w:rsid w:val="0006498A"/>
    <w:rsid w:val="00064A92"/>
    <w:rsid w:val="000667A4"/>
    <w:rsid w:val="0006730B"/>
    <w:rsid w:val="00073FE7"/>
    <w:rsid w:val="00074DFE"/>
    <w:rsid w:val="00075774"/>
    <w:rsid w:val="00075B0B"/>
    <w:rsid w:val="000815C2"/>
    <w:rsid w:val="00083CBE"/>
    <w:rsid w:val="00083FBD"/>
    <w:rsid w:val="00085DC0"/>
    <w:rsid w:val="00087ADA"/>
    <w:rsid w:val="00091A06"/>
    <w:rsid w:val="000979AD"/>
    <w:rsid w:val="000A32C8"/>
    <w:rsid w:val="000A6F40"/>
    <w:rsid w:val="000B0A3D"/>
    <w:rsid w:val="000B1470"/>
    <w:rsid w:val="000B26FD"/>
    <w:rsid w:val="000B3486"/>
    <w:rsid w:val="000B546E"/>
    <w:rsid w:val="000C02C0"/>
    <w:rsid w:val="000C05F1"/>
    <w:rsid w:val="000C0940"/>
    <w:rsid w:val="000C0E41"/>
    <w:rsid w:val="000C4051"/>
    <w:rsid w:val="000C5523"/>
    <w:rsid w:val="000C61C0"/>
    <w:rsid w:val="000C7D15"/>
    <w:rsid w:val="000C7ECA"/>
    <w:rsid w:val="000D0298"/>
    <w:rsid w:val="000D19DE"/>
    <w:rsid w:val="000D436B"/>
    <w:rsid w:val="000D6D2F"/>
    <w:rsid w:val="000E1CF3"/>
    <w:rsid w:val="000E2422"/>
    <w:rsid w:val="000E52A5"/>
    <w:rsid w:val="000E599F"/>
    <w:rsid w:val="000F0A6D"/>
    <w:rsid w:val="000F18BC"/>
    <w:rsid w:val="000F1EC3"/>
    <w:rsid w:val="000F1FE4"/>
    <w:rsid w:val="000F752E"/>
    <w:rsid w:val="00101A2A"/>
    <w:rsid w:val="00102B2A"/>
    <w:rsid w:val="001031CE"/>
    <w:rsid w:val="00104FBD"/>
    <w:rsid w:val="001067F0"/>
    <w:rsid w:val="001068F9"/>
    <w:rsid w:val="00107734"/>
    <w:rsid w:val="001100D4"/>
    <w:rsid w:val="00112B21"/>
    <w:rsid w:val="0011346D"/>
    <w:rsid w:val="0011470B"/>
    <w:rsid w:val="00114B30"/>
    <w:rsid w:val="0011509F"/>
    <w:rsid w:val="00116528"/>
    <w:rsid w:val="00116C3E"/>
    <w:rsid w:val="00117B8B"/>
    <w:rsid w:val="00117E59"/>
    <w:rsid w:val="0012201E"/>
    <w:rsid w:val="00122E4C"/>
    <w:rsid w:val="00122FA8"/>
    <w:rsid w:val="00123BCC"/>
    <w:rsid w:val="00123FD7"/>
    <w:rsid w:val="001249CC"/>
    <w:rsid w:val="0013089B"/>
    <w:rsid w:val="00132F76"/>
    <w:rsid w:val="0013384F"/>
    <w:rsid w:val="00134977"/>
    <w:rsid w:val="00134FC3"/>
    <w:rsid w:val="00135E5C"/>
    <w:rsid w:val="001362D8"/>
    <w:rsid w:val="00136B7F"/>
    <w:rsid w:val="001371E9"/>
    <w:rsid w:val="00137D2F"/>
    <w:rsid w:val="00141D5A"/>
    <w:rsid w:val="00154168"/>
    <w:rsid w:val="0015605C"/>
    <w:rsid w:val="00157347"/>
    <w:rsid w:val="00157AAE"/>
    <w:rsid w:val="00161BB6"/>
    <w:rsid w:val="00161BE9"/>
    <w:rsid w:val="001708B3"/>
    <w:rsid w:val="00173C4D"/>
    <w:rsid w:val="00174A49"/>
    <w:rsid w:val="00175388"/>
    <w:rsid w:val="0017689F"/>
    <w:rsid w:val="001771CA"/>
    <w:rsid w:val="00177270"/>
    <w:rsid w:val="001772D6"/>
    <w:rsid w:val="0017758B"/>
    <w:rsid w:val="00181A04"/>
    <w:rsid w:val="00182898"/>
    <w:rsid w:val="00190E0B"/>
    <w:rsid w:val="00192D6B"/>
    <w:rsid w:val="00192E59"/>
    <w:rsid w:val="00193162"/>
    <w:rsid w:val="00194542"/>
    <w:rsid w:val="00194C16"/>
    <w:rsid w:val="00195301"/>
    <w:rsid w:val="00195E2A"/>
    <w:rsid w:val="00196146"/>
    <w:rsid w:val="001A1020"/>
    <w:rsid w:val="001A155F"/>
    <w:rsid w:val="001B00A0"/>
    <w:rsid w:val="001B17F0"/>
    <w:rsid w:val="001B23ED"/>
    <w:rsid w:val="001B34DE"/>
    <w:rsid w:val="001B6CB5"/>
    <w:rsid w:val="001B79DA"/>
    <w:rsid w:val="001B7BF3"/>
    <w:rsid w:val="001C07F5"/>
    <w:rsid w:val="001C232C"/>
    <w:rsid w:val="001C3137"/>
    <w:rsid w:val="001C540A"/>
    <w:rsid w:val="001C5CA5"/>
    <w:rsid w:val="001C6336"/>
    <w:rsid w:val="001C663B"/>
    <w:rsid w:val="001D1412"/>
    <w:rsid w:val="001D36DC"/>
    <w:rsid w:val="001D4D59"/>
    <w:rsid w:val="001D713C"/>
    <w:rsid w:val="001E1B43"/>
    <w:rsid w:val="001E2D97"/>
    <w:rsid w:val="001E30E8"/>
    <w:rsid w:val="001E4286"/>
    <w:rsid w:val="001E4C59"/>
    <w:rsid w:val="001E531C"/>
    <w:rsid w:val="001F3169"/>
    <w:rsid w:val="001F3847"/>
    <w:rsid w:val="0020034E"/>
    <w:rsid w:val="00201C06"/>
    <w:rsid w:val="00207117"/>
    <w:rsid w:val="002101A4"/>
    <w:rsid w:val="002109F9"/>
    <w:rsid w:val="00212902"/>
    <w:rsid w:val="002137D2"/>
    <w:rsid w:val="00214440"/>
    <w:rsid w:val="00215132"/>
    <w:rsid w:val="002154A2"/>
    <w:rsid w:val="002156C8"/>
    <w:rsid w:val="00221A8F"/>
    <w:rsid w:val="00221D5A"/>
    <w:rsid w:val="0022431B"/>
    <w:rsid w:val="002254A0"/>
    <w:rsid w:val="002256CA"/>
    <w:rsid w:val="002274F9"/>
    <w:rsid w:val="0023091D"/>
    <w:rsid w:val="00231B52"/>
    <w:rsid w:val="00232B56"/>
    <w:rsid w:val="002346C6"/>
    <w:rsid w:val="00234D40"/>
    <w:rsid w:val="002418DA"/>
    <w:rsid w:val="00241BAC"/>
    <w:rsid w:val="002421F2"/>
    <w:rsid w:val="00245DC8"/>
    <w:rsid w:val="00251361"/>
    <w:rsid w:val="0025177C"/>
    <w:rsid w:val="00251DDE"/>
    <w:rsid w:val="00252CBB"/>
    <w:rsid w:val="002579B2"/>
    <w:rsid w:val="00260CC9"/>
    <w:rsid w:val="00263A58"/>
    <w:rsid w:val="00265807"/>
    <w:rsid w:val="00267364"/>
    <w:rsid w:val="0026739B"/>
    <w:rsid w:val="002711A1"/>
    <w:rsid w:val="002737CB"/>
    <w:rsid w:val="00273A31"/>
    <w:rsid w:val="00274483"/>
    <w:rsid w:val="00274DF1"/>
    <w:rsid w:val="00274FEA"/>
    <w:rsid w:val="00276E3E"/>
    <w:rsid w:val="00277240"/>
    <w:rsid w:val="0027747E"/>
    <w:rsid w:val="00277610"/>
    <w:rsid w:val="00277A23"/>
    <w:rsid w:val="00280E4B"/>
    <w:rsid w:val="00282ADD"/>
    <w:rsid w:val="002835E2"/>
    <w:rsid w:val="002852DB"/>
    <w:rsid w:val="002855C3"/>
    <w:rsid w:val="00285F27"/>
    <w:rsid w:val="00287FBB"/>
    <w:rsid w:val="0029026E"/>
    <w:rsid w:val="0029371B"/>
    <w:rsid w:val="00293EB0"/>
    <w:rsid w:val="00295D01"/>
    <w:rsid w:val="002A21FD"/>
    <w:rsid w:val="002A47DB"/>
    <w:rsid w:val="002A52E3"/>
    <w:rsid w:val="002A5A18"/>
    <w:rsid w:val="002A5D8F"/>
    <w:rsid w:val="002A658F"/>
    <w:rsid w:val="002B3E6E"/>
    <w:rsid w:val="002B4524"/>
    <w:rsid w:val="002C5384"/>
    <w:rsid w:val="002C54A6"/>
    <w:rsid w:val="002C54B4"/>
    <w:rsid w:val="002C5903"/>
    <w:rsid w:val="002C5E81"/>
    <w:rsid w:val="002D19CD"/>
    <w:rsid w:val="002D459A"/>
    <w:rsid w:val="002D688F"/>
    <w:rsid w:val="002D7B24"/>
    <w:rsid w:val="002D7F27"/>
    <w:rsid w:val="002E00BA"/>
    <w:rsid w:val="002E0C1E"/>
    <w:rsid w:val="002E11E5"/>
    <w:rsid w:val="002E3B33"/>
    <w:rsid w:val="002E3BB0"/>
    <w:rsid w:val="002E5124"/>
    <w:rsid w:val="002E6619"/>
    <w:rsid w:val="002E7AB1"/>
    <w:rsid w:val="002E7DC9"/>
    <w:rsid w:val="002F0071"/>
    <w:rsid w:val="002F06CC"/>
    <w:rsid w:val="002F1708"/>
    <w:rsid w:val="002F5550"/>
    <w:rsid w:val="002F6563"/>
    <w:rsid w:val="002F6753"/>
    <w:rsid w:val="002F7A19"/>
    <w:rsid w:val="00301C5C"/>
    <w:rsid w:val="003036A2"/>
    <w:rsid w:val="00303904"/>
    <w:rsid w:val="003053C7"/>
    <w:rsid w:val="003059EB"/>
    <w:rsid w:val="00306A4B"/>
    <w:rsid w:val="00307B3C"/>
    <w:rsid w:val="00310421"/>
    <w:rsid w:val="003139EB"/>
    <w:rsid w:val="00313CAE"/>
    <w:rsid w:val="0031605A"/>
    <w:rsid w:val="00322721"/>
    <w:rsid w:val="00322BA1"/>
    <w:rsid w:val="0032796C"/>
    <w:rsid w:val="00331731"/>
    <w:rsid w:val="00331F3B"/>
    <w:rsid w:val="003323CC"/>
    <w:rsid w:val="00333EED"/>
    <w:rsid w:val="0033551F"/>
    <w:rsid w:val="00336F74"/>
    <w:rsid w:val="00340806"/>
    <w:rsid w:val="00340FB4"/>
    <w:rsid w:val="00341FFE"/>
    <w:rsid w:val="003425BE"/>
    <w:rsid w:val="003450A8"/>
    <w:rsid w:val="00345621"/>
    <w:rsid w:val="003461B2"/>
    <w:rsid w:val="00347C0E"/>
    <w:rsid w:val="00355B43"/>
    <w:rsid w:val="00356B61"/>
    <w:rsid w:val="00357251"/>
    <w:rsid w:val="003579A8"/>
    <w:rsid w:val="00357F24"/>
    <w:rsid w:val="00361EE2"/>
    <w:rsid w:val="0036319D"/>
    <w:rsid w:val="003713F8"/>
    <w:rsid w:val="00371400"/>
    <w:rsid w:val="00383ADF"/>
    <w:rsid w:val="0038407D"/>
    <w:rsid w:val="00387974"/>
    <w:rsid w:val="00390015"/>
    <w:rsid w:val="0039270B"/>
    <w:rsid w:val="003940C6"/>
    <w:rsid w:val="00395EF5"/>
    <w:rsid w:val="0039729E"/>
    <w:rsid w:val="003A2FF2"/>
    <w:rsid w:val="003A3052"/>
    <w:rsid w:val="003A3919"/>
    <w:rsid w:val="003A476E"/>
    <w:rsid w:val="003A4AF4"/>
    <w:rsid w:val="003A647C"/>
    <w:rsid w:val="003A710E"/>
    <w:rsid w:val="003B08CD"/>
    <w:rsid w:val="003B1238"/>
    <w:rsid w:val="003B4380"/>
    <w:rsid w:val="003B58A6"/>
    <w:rsid w:val="003C2A87"/>
    <w:rsid w:val="003C35A7"/>
    <w:rsid w:val="003C40B6"/>
    <w:rsid w:val="003D0366"/>
    <w:rsid w:val="003D0A3B"/>
    <w:rsid w:val="003D26A3"/>
    <w:rsid w:val="003D4D64"/>
    <w:rsid w:val="003D62C9"/>
    <w:rsid w:val="003D6306"/>
    <w:rsid w:val="003D641F"/>
    <w:rsid w:val="003D6565"/>
    <w:rsid w:val="003D778D"/>
    <w:rsid w:val="003E27E2"/>
    <w:rsid w:val="003E3972"/>
    <w:rsid w:val="003E44F0"/>
    <w:rsid w:val="003E6CDA"/>
    <w:rsid w:val="003F061A"/>
    <w:rsid w:val="003F1806"/>
    <w:rsid w:val="003F1FBD"/>
    <w:rsid w:val="003F5D80"/>
    <w:rsid w:val="003F6EAD"/>
    <w:rsid w:val="0040108B"/>
    <w:rsid w:val="00401C9F"/>
    <w:rsid w:val="004070AA"/>
    <w:rsid w:val="00410CB7"/>
    <w:rsid w:val="00411649"/>
    <w:rsid w:val="00411FA7"/>
    <w:rsid w:val="00412553"/>
    <w:rsid w:val="004134DD"/>
    <w:rsid w:val="004135A9"/>
    <w:rsid w:val="0041517D"/>
    <w:rsid w:val="00416DF7"/>
    <w:rsid w:val="00420B21"/>
    <w:rsid w:val="00420CC0"/>
    <w:rsid w:val="00424127"/>
    <w:rsid w:val="00424719"/>
    <w:rsid w:val="00425B20"/>
    <w:rsid w:val="00426E97"/>
    <w:rsid w:val="00433834"/>
    <w:rsid w:val="004362E3"/>
    <w:rsid w:val="00440CFE"/>
    <w:rsid w:val="00441D99"/>
    <w:rsid w:val="00443E96"/>
    <w:rsid w:val="00444967"/>
    <w:rsid w:val="00444D4A"/>
    <w:rsid w:val="004459B1"/>
    <w:rsid w:val="00446533"/>
    <w:rsid w:val="00450B7D"/>
    <w:rsid w:val="00450C41"/>
    <w:rsid w:val="00451D27"/>
    <w:rsid w:val="00455807"/>
    <w:rsid w:val="00457440"/>
    <w:rsid w:val="00460589"/>
    <w:rsid w:val="0046209B"/>
    <w:rsid w:val="00462182"/>
    <w:rsid w:val="00463ED6"/>
    <w:rsid w:val="0046410C"/>
    <w:rsid w:val="00466556"/>
    <w:rsid w:val="004666B7"/>
    <w:rsid w:val="00467438"/>
    <w:rsid w:val="004712A8"/>
    <w:rsid w:val="00471DED"/>
    <w:rsid w:val="00472E3F"/>
    <w:rsid w:val="00473705"/>
    <w:rsid w:val="00474EEF"/>
    <w:rsid w:val="00475BB5"/>
    <w:rsid w:val="00475EB7"/>
    <w:rsid w:val="004763CA"/>
    <w:rsid w:val="004766E5"/>
    <w:rsid w:val="004826CF"/>
    <w:rsid w:val="00483F64"/>
    <w:rsid w:val="00485767"/>
    <w:rsid w:val="0048768F"/>
    <w:rsid w:val="00487D3D"/>
    <w:rsid w:val="00491B05"/>
    <w:rsid w:val="00492547"/>
    <w:rsid w:val="00494587"/>
    <w:rsid w:val="00494743"/>
    <w:rsid w:val="00495B3F"/>
    <w:rsid w:val="00497ADD"/>
    <w:rsid w:val="004A02E5"/>
    <w:rsid w:val="004A067D"/>
    <w:rsid w:val="004A1BF4"/>
    <w:rsid w:val="004A3BA6"/>
    <w:rsid w:val="004A4028"/>
    <w:rsid w:val="004A575F"/>
    <w:rsid w:val="004A57E4"/>
    <w:rsid w:val="004A758F"/>
    <w:rsid w:val="004A7FA7"/>
    <w:rsid w:val="004B1330"/>
    <w:rsid w:val="004B159D"/>
    <w:rsid w:val="004B2DAA"/>
    <w:rsid w:val="004B5AC9"/>
    <w:rsid w:val="004B7FE1"/>
    <w:rsid w:val="004C08B6"/>
    <w:rsid w:val="004C0D00"/>
    <w:rsid w:val="004C1064"/>
    <w:rsid w:val="004C14AB"/>
    <w:rsid w:val="004C3462"/>
    <w:rsid w:val="004C430C"/>
    <w:rsid w:val="004C5772"/>
    <w:rsid w:val="004C6AD0"/>
    <w:rsid w:val="004C6ECD"/>
    <w:rsid w:val="004D0A90"/>
    <w:rsid w:val="004D0D8B"/>
    <w:rsid w:val="004D139E"/>
    <w:rsid w:val="004D1CE2"/>
    <w:rsid w:val="004D1DE8"/>
    <w:rsid w:val="004D3DB4"/>
    <w:rsid w:val="004D44AC"/>
    <w:rsid w:val="004D5ED7"/>
    <w:rsid w:val="004D6058"/>
    <w:rsid w:val="004D7732"/>
    <w:rsid w:val="004D7860"/>
    <w:rsid w:val="004E1262"/>
    <w:rsid w:val="004E3049"/>
    <w:rsid w:val="004E411B"/>
    <w:rsid w:val="004E5109"/>
    <w:rsid w:val="004E5C69"/>
    <w:rsid w:val="004E60D0"/>
    <w:rsid w:val="004F12A6"/>
    <w:rsid w:val="004F1565"/>
    <w:rsid w:val="004F1878"/>
    <w:rsid w:val="004F2304"/>
    <w:rsid w:val="004F26F8"/>
    <w:rsid w:val="004F287F"/>
    <w:rsid w:val="004F30FF"/>
    <w:rsid w:val="004F4CC9"/>
    <w:rsid w:val="004F75D8"/>
    <w:rsid w:val="00500106"/>
    <w:rsid w:val="005025FE"/>
    <w:rsid w:val="00503816"/>
    <w:rsid w:val="00504585"/>
    <w:rsid w:val="00506DDE"/>
    <w:rsid w:val="0051343B"/>
    <w:rsid w:val="005136AD"/>
    <w:rsid w:val="005138BA"/>
    <w:rsid w:val="00513923"/>
    <w:rsid w:val="00514D9D"/>
    <w:rsid w:val="00514FFB"/>
    <w:rsid w:val="00516657"/>
    <w:rsid w:val="00516904"/>
    <w:rsid w:val="00520CB5"/>
    <w:rsid w:val="005210CC"/>
    <w:rsid w:val="005211AF"/>
    <w:rsid w:val="00521241"/>
    <w:rsid w:val="005213E2"/>
    <w:rsid w:val="005262D7"/>
    <w:rsid w:val="005276C2"/>
    <w:rsid w:val="00531DF5"/>
    <w:rsid w:val="00537AF7"/>
    <w:rsid w:val="00540503"/>
    <w:rsid w:val="005406F8"/>
    <w:rsid w:val="0054169B"/>
    <w:rsid w:val="005417D2"/>
    <w:rsid w:val="005422E4"/>
    <w:rsid w:val="00543721"/>
    <w:rsid w:val="00543F83"/>
    <w:rsid w:val="00544161"/>
    <w:rsid w:val="0054436C"/>
    <w:rsid w:val="00544E99"/>
    <w:rsid w:val="00545CF8"/>
    <w:rsid w:val="00550E4D"/>
    <w:rsid w:val="00550F69"/>
    <w:rsid w:val="005523C6"/>
    <w:rsid w:val="005535C1"/>
    <w:rsid w:val="00560A5F"/>
    <w:rsid w:val="005616AE"/>
    <w:rsid w:val="00563FBC"/>
    <w:rsid w:val="00564D29"/>
    <w:rsid w:val="0056672F"/>
    <w:rsid w:val="00566F12"/>
    <w:rsid w:val="00571AAC"/>
    <w:rsid w:val="00571ADF"/>
    <w:rsid w:val="00571CEA"/>
    <w:rsid w:val="00571F91"/>
    <w:rsid w:val="0057516A"/>
    <w:rsid w:val="00575E75"/>
    <w:rsid w:val="00581C8A"/>
    <w:rsid w:val="0058454A"/>
    <w:rsid w:val="0058715A"/>
    <w:rsid w:val="005871BD"/>
    <w:rsid w:val="005900A1"/>
    <w:rsid w:val="00590B01"/>
    <w:rsid w:val="00595936"/>
    <w:rsid w:val="005979B7"/>
    <w:rsid w:val="005A0224"/>
    <w:rsid w:val="005A0BA6"/>
    <w:rsid w:val="005A1201"/>
    <w:rsid w:val="005A15E8"/>
    <w:rsid w:val="005A35B2"/>
    <w:rsid w:val="005A3615"/>
    <w:rsid w:val="005A3671"/>
    <w:rsid w:val="005A3F38"/>
    <w:rsid w:val="005A68C6"/>
    <w:rsid w:val="005A6ADA"/>
    <w:rsid w:val="005A6C20"/>
    <w:rsid w:val="005A6F02"/>
    <w:rsid w:val="005A7152"/>
    <w:rsid w:val="005B0BCB"/>
    <w:rsid w:val="005B170A"/>
    <w:rsid w:val="005B2B2E"/>
    <w:rsid w:val="005B358C"/>
    <w:rsid w:val="005B753C"/>
    <w:rsid w:val="005B77B6"/>
    <w:rsid w:val="005C1B4B"/>
    <w:rsid w:val="005C2541"/>
    <w:rsid w:val="005C71E9"/>
    <w:rsid w:val="005D4BE7"/>
    <w:rsid w:val="005D5D01"/>
    <w:rsid w:val="005D6F45"/>
    <w:rsid w:val="005D7700"/>
    <w:rsid w:val="005E3E37"/>
    <w:rsid w:val="005E5EEE"/>
    <w:rsid w:val="005E7012"/>
    <w:rsid w:val="005E762C"/>
    <w:rsid w:val="005F0DA6"/>
    <w:rsid w:val="005F32AD"/>
    <w:rsid w:val="005F41CD"/>
    <w:rsid w:val="005F573F"/>
    <w:rsid w:val="005F7C32"/>
    <w:rsid w:val="00601338"/>
    <w:rsid w:val="00601BED"/>
    <w:rsid w:val="0060546E"/>
    <w:rsid w:val="006065A9"/>
    <w:rsid w:val="006075B1"/>
    <w:rsid w:val="00607651"/>
    <w:rsid w:val="006101EB"/>
    <w:rsid w:val="006103AF"/>
    <w:rsid w:val="00610C1D"/>
    <w:rsid w:val="006131D3"/>
    <w:rsid w:val="006137A9"/>
    <w:rsid w:val="00620AB1"/>
    <w:rsid w:val="00620C5C"/>
    <w:rsid w:val="00622516"/>
    <w:rsid w:val="006256B1"/>
    <w:rsid w:val="00625BAE"/>
    <w:rsid w:val="00627195"/>
    <w:rsid w:val="00630086"/>
    <w:rsid w:val="00630E7C"/>
    <w:rsid w:val="0063561B"/>
    <w:rsid w:val="0064042D"/>
    <w:rsid w:val="00641AEC"/>
    <w:rsid w:val="00644551"/>
    <w:rsid w:val="0064524B"/>
    <w:rsid w:val="006469A4"/>
    <w:rsid w:val="00650A8F"/>
    <w:rsid w:val="00651877"/>
    <w:rsid w:val="00655388"/>
    <w:rsid w:val="00655D42"/>
    <w:rsid w:val="00656199"/>
    <w:rsid w:val="00662298"/>
    <w:rsid w:val="00664D3A"/>
    <w:rsid w:val="00666B96"/>
    <w:rsid w:val="00667F88"/>
    <w:rsid w:val="006716A1"/>
    <w:rsid w:val="00675060"/>
    <w:rsid w:val="006759C2"/>
    <w:rsid w:val="0067631B"/>
    <w:rsid w:val="00676831"/>
    <w:rsid w:val="00677A9F"/>
    <w:rsid w:val="0068030D"/>
    <w:rsid w:val="00680CAA"/>
    <w:rsid w:val="00681CA4"/>
    <w:rsid w:val="00682027"/>
    <w:rsid w:val="006839AA"/>
    <w:rsid w:val="00685B63"/>
    <w:rsid w:val="00690252"/>
    <w:rsid w:val="006945AD"/>
    <w:rsid w:val="00694E1A"/>
    <w:rsid w:val="00695A1E"/>
    <w:rsid w:val="006A25BB"/>
    <w:rsid w:val="006A2D81"/>
    <w:rsid w:val="006A4E81"/>
    <w:rsid w:val="006A5890"/>
    <w:rsid w:val="006A5D0B"/>
    <w:rsid w:val="006A6715"/>
    <w:rsid w:val="006A7B5C"/>
    <w:rsid w:val="006B09AF"/>
    <w:rsid w:val="006B10B6"/>
    <w:rsid w:val="006B1238"/>
    <w:rsid w:val="006B1377"/>
    <w:rsid w:val="006B2726"/>
    <w:rsid w:val="006B57B2"/>
    <w:rsid w:val="006B5936"/>
    <w:rsid w:val="006B6994"/>
    <w:rsid w:val="006C0EDC"/>
    <w:rsid w:val="006C109B"/>
    <w:rsid w:val="006C180F"/>
    <w:rsid w:val="006C2F7A"/>
    <w:rsid w:val="006C33D9"/>
    <w:rsid w:val="006C3676"/>
    <w:rsid w:val="006C4214"/>
    <w:rsid w:val="006C63D3"/>
    <w:rsid w:val="006D1B2D"/>
    <w:rsid w:val="006D1E80"/>
    <w:rsid w:val="006D4C17"/>
    <w:rsid w:val="006D555F"/>
    <w:rsid w:val="006D56CE"/>
    <w:rsid w:val="006D5ED2"/>
    <w:rsid w:val="006D6732"/>
    <w:rsid w:val="006D7E28"/>
    <w:rsid w:val="006E0865"/>
    <w:rsid w:val="006E17CD"/>
    <w:rsid w:val="006E23B6"/>
    <w:rsid w:val="006E25AB"/>
    <w:rsid w:val="006E3262"/>
    <w:rsid w:val="006E3A6D"/>
    <w:rsid w:val="006E4748"/>
    <w:rsid w:val="006E51BB"/>
    <w:rsid w:val="006E7746"/>
    <w:rsid w:val="006E7F70"/>
    <w:rsid w:val="006F0B2F"/>
    <w:rsid w:val="006F164A"/>
    <w:rsid w:val="006F2A2A"/>
    <w:rsid w:val="006F4826"/>
    <w:rsid w:val="006F4D0E"/>
    <w:rsid w:val="006F62BE"/>
    <w:rsid w:val="006F738D"/>
    <w:rsid w:val="00700738"/>
    <w:rsid w:val="00703F9F"/>
    <w:rsid w:val="00707997"/>
    <w:rsid w:val="0071029B"/>
    <w:rsid w:val="0071052E"/>
    <w:rsid w:val="00711762"/>
    <w:rsid w:val="00715236"/>
    <w:rsid w:val="00716588"/>
    <w:rsid w:val="00721552"/>
    <w:rsid w:val="00722822"/>
    <w:rsid w:val="00726E5E"/>
    <w:rsid w:val="0073020F"/>
    <w:rsid w:val="007327F4"/>
    <w:rsid w:val="007360DC"/>
    <w:rsid w:val="007367A7"/>
    <w:rsid w:val="00736C13"/>
    <w:rsid w:val="00736E1E"/>
    <w:rsid w:val="00736F0E"/>
    <w:rsid w:val="007445DB"/>
    <w:rsid w:val="0074569B"/>
    <w:rsid w:val="00746FE8"/>
    <w:rsid w:val="00747EA3"/>
    <w:rsid w:val="00750AC2"/>
    <w:rsid w:val="007510E2"/>
    <w:rsid w:val="007513AA"/>
    <w:rsid w:val="00752314"/>
    <w:rsid w:val="00752473"/>
    <w:rsid w:val="00752903"/>
    <w:rsid w:val="00757D44"/>
    <w:rsid w:val="00761171"/>
    <w:rsid w:val="007646FF"/>
    <w:rsid w:val="00766BBE"/>
    <w:rsid w:val="00767521"/>
    <w:rsid w:val="00772DE3"/>
    <w:rsid w:val="007732C9"/>
    <w:rsid w:val="007738F3"/>
    <w:rsid w:val="00773C4E"/>
    <w:rsid w:val="00774CB6"/>
    <w:rsid w:val="00774F15"/>
    <w:rsid w:val="00776A3D"/>
    <w:rsid w:val="00782488"/>
    <w:rsid w:val="00785E49"/>
    <w:rsid w:val="00786383"/>
    <w:rsid w:val="007868C5"/>
    <w:rsid w:val="00786A8D"/>
    <w:rsid w:val="00786B17"/>
    <w:rsid w:val="00787338"/>
    <w:rsid w:val="00787C90"/>
    <w:rsid w:val="00790A1F"/>
    <w:rsid w:val="00793815"/>
    <w:rsid w:val="00793B7A"/>
    <w:rsid w:val="00793C15"/>
    <w:rsid w:val="00793DA2"/>
    <w:rsid w:val="007943A7"/>
    <w:rsid w:val="007A01EB"/>
    <w:rsid w:val="007A083B"/>
    <w:rsid w:val="007B13AE"/>
    <w:rsid w:val="007B2475"/>
    <w:rsid w:val="007B249F"/>
    <w:rsid w:val="007B2ECC"/>
    <w:rsid w:val="007B7E63"/>
    <w:rsid w:val="007C1DF4"/>
    <w:rsid w:val="007C2343"/>
    <w:rsid w:val="007C4C8C"/>
    <w:rsid w:val="007C5394"/>
    <w:rsid w:val="007C6BB9"/>
    <w:rsid w:val="007D1633"/>
    <w:rsid w:val="007D1B60"/>
    <w:rsid w:val="007D2E6D"/>
    <w:rsid w:val="007D5501"/>
    <w:rsid w:val="007D7F23"/>
    <w:rsid w:val="007E073D"/>
    <w:rsid w:val="007E0E63"/>
    <w:rsid w:val="007E260F"/>
    <w:rsid w:val="007E35CB"/>
    <w:rsid w:val="007E4B05"/>
    <w:rsid w:val="007F1095"/>
    <w:rsid w:val="007F16A8"/>
    <w:rsid w:val="007F411F"/>
    <w:rsid w:val="007F6149"/>
    <w:rsid w:val="007F618C"/>
    <w:rsid w:val="007F688D"/>
    <w:rsid w:val="00802325"/>
    <w:rsid w:val="00806F44"/>
    <w:rsid w:val="00807954"/>
    <w:rsid w:val="00812E7D"/>
    <w:rsid w:val="00815DBC"/>
    <w:rsid w:val="00816F1C"/>
    <w:rsid w:val="00816F94"/>
    <w:rsid w:val="008175AA"/>
    <w:rsid w:val="008223E7"/>
    <w:rsid w:val="00822523"/>
    <w:rsid w:val="008228B3"/>
    <w:rsid w:val="00826D20"/>
    <w:rsid w:val="00831931"/>
    <w:rsid w:val="00833678"/>
    <w:rsid w:val="008350AC"/>
    <w:rsid w:val="00840460"/>
    <w:rsid w:val="008408C1"/>
    <w:rsid w:val="00840B15"/>
    <w:rsid w:val="00840FE7"/>
    <w:rsid w:val="008413D6"/>
    <w:rsid w:val="00843A62"/>
    <w:rsid w:val="00845BD7"/>
    <w:rsid w:val="0084763A"/>
    <w:rsid w:val="008503AA"/>
    <w:rsid w:val="00850FC5"/>
    <w:rsid w:val="0085234E"/>
    <w:rsid w:val="008547B1"/>
    <w:rsid w:val="00854E3D"/>
    <w:rsid w:val="00855D87"/>
    <w:rsid w:val="00856E94"/>
    <w:rsid w:val="00857E65"/>
    <w:rsid w:val="008601C5"/>
    <w:rsid w:val="008631BE"/>
    <w:rsid w:val="008631C8"/>
    <w:rsid w:val="00863F9A"/>
    <w:rsid w:val="00864126"/>
    <w:rsid w:val="00865C60"/>
    <w:rsid w:val="00865F66"/>
    <w:rsid w:val="00866560"/>
    <w:rsid w:val="00867518"/>
    <w:rsid w:val="00870419"/>
    <w:rsid w:val="008704E4"/>
    <w:rsid w:val="00874202"/>
    <w:rsid w:val="008759F4"/>
    <w:rsid w:val="00875C85"/>
    <w:rsid w:val="00876062"/>
    <w:rsid w:val="00880650"/>
    <w:rsid w:val="00880DE8"/>
    <w:rsid w:val="008852DE"/>
    <w:rsid w:val="008860B2"/>
    <w:rsid w:val="00887AD9"/>
    <w:rsid w:val="00890BD7"/>
    <w:rsid w:val="00891A6E"/>
    <w:rsid w:val="008937AA"/>
    <w:rsid w:val="008941B7"/>
    <w:rsid w:val="00894AAF"/>
    <w:rsid w:val="008951FB"/>
    <w:rsid w:val="008968EB"/>
    <w:rsid w:val="00897689"/>
    <w:rsid w:val="0089768A"/>
    <w:rsid w:val="00897FEE"/>
    <w:rsid w:val="008A10FD"/>
    <w:rsid w:val="008A1D54"/>
    <w:rsid w:val="008A3A56"/>
    <w:rsid w:val="008A405E"/>
    <w:rsid w:val="008A4DD1"/>
    <w:rsid w:val="008A51A2"/>
    <w:rsid w:val="008A51C6"/>
    <w:rsid w:val="008A51D2"/>
    <w:rsid w:val="008A5274"/>
    <w:rsid w:val="008A70E7"/>
    <w:rsid w:val="008A744F"/>
    <w:rsid w:val="008B2EB2"/>
    <w:rsid w:val="008B6836"/>
    <w:rsid w:val="008B7AF1"/>
    <w:rsid w:val="008C08F3"/>
    <w:rsid w:val="008C27AE"/>
    <w:rsid w:val="008C3EB9"/>
    <w:rsid w:val="008D0507"/>
    <w:rsid w:val="008D0832"/>
    <w:rsid w:val="008D5E56"/>
    <w:rsid w:val="008E36EC"/>
    <w:rsid w:val="008E3A6A"/>
    <w:rsid w:val="008E468E"/>
    <w:rsid w:val="008E5CE3"/>
    <w:rsid w:val="008F0765"/>
    <w:rsid w:val="008F0F4C"/>
    <w:rsid w:val="008F10C0"/>
    <w:rsid w:val="008F1194"/>
    <w:rsid w:val="008F273A"/>
    <w:rsid w:val="008F43E3"/>
    <w:rsid w:val="008F5B8D"/>
    <w:rsid w:val="008F5FA6"/>
    <w:rsid w:val="008F64BD"/>
    <w:rsid w:val="008F7A9C"/>
    <w:rsid w:val="00900503"/>
    <w:rsid w:val="00903B5D"/>
    <w:rsid w:val="00903F91"/>
    <w:rsid w:val="0090626D"/>
    <w:rsid w:val="00912365"/>
    <w:rsid w:val="0091299A"/>
    <w:rsid w:val="00914764"/>
    <w:rsid w:val="0091539C"/>
    <w:rsid w:val="00917822"/>
    <w:rsid w:val="00920BE1"/>
    <w:rsid w:val="009231E0"/>
    <w:rsid w:val="009238C0"/>
    <w:rsid w:val="00924D99"/>
    <w:rsid w:val="00925BAA"/>
    <w:rsid w:val="00925EE3"/>
    <w:rsid w:val="0092796F"/>
    <w:rsid w:val="009317F7"/>
    <w:rsid w:val="009328FC"/>
    <w:rsid w:val="00933B2D"/>
    <w:rsid w:val="00933D7D"/>
    <w:rsid w:val="00934B57"/>
    <w:rsid w:val="009360C5"/>
    <w:rsid w:val="00937044"/>
    <w:rsid w:val="00944443"/>
    <w:rsid w:val="00946A54"/>
    <w:rsid w:val="00950842"/>
    <w:rsid w:val="00952FBD"/>
    <w:rsid w:val="00955DB5"/>
    <w:rsid w:val="00956245"/>
    <w:rsid w:val="00957152"/>
    <w:rsid w:val="0096064B"/>
    <w:rsid w:val="00962C63"/>
    <w:rsid w:val="00963568"/>
    <w:rsid w:val="00967461"/>
    <w:rsid w:val="009704B0"/>
    <w:rsid w:val="00972036"/>
    <w:rsid w:val="00972119"/>
    <w:rsid w:val="00983F19"/>
    <w:rsid w:val="00987853"/>
    <w:rsid w:val="009920D4"/>
    <w:rsid w:val="0099432F"/>
    <w:rsid w:val="00994B84"/>
    <w:rsid w:val="009952EB"/>
    <w:rsid w:val="00995A6A"/>
    <w:rsid w:val="00995D43"/>
    <w:rsid w:val="00996412"/>
    <w:rsid w:val="009964E7"/>
    <w:rsid w:val="009A180F"/>
    <w:rsid w:val="009A20E5"/>
    <w:rsid w:val="009A623A"/>
    <w:rsid w:val="009A7CBB"/>
    <w:rsid w:val="009B2A40"/>
    <w:rsid w:val="009B3319"/>
    <w:rsid w:val="009B4B17"/>
    <w:rsid w:val="009B532B"/>
    <w:rsid w:val="009B5F0E"/>
    <w:rsid w:val="009B6B20"/>
    <w:rsid w:val="009B7560"/>
    <w:rsid w:val="009B77E9"/>
    <w:rsid w:val="009C3E19"/>
    <w:rsid w:val="009C4684"/>
    <w:rsid w:val="009C532F"/>
    <w:rsid w:val="009C5CA3"/>
    <w:rsid w:val="009C5DC9"/>
    <w:rsid w:val="009C71A6"/>
    <w:rsid w:val="009D3D02"/>
    <w:rsid w:val="009D3EE1"/>
    <w:rsid w:val="009D7E49"/>
    <w:rsid w:val="009E1710"/>
    <w:rsid w:val="009E198A"/>
    <w:rsid w:val="009E354F"/>
    <w:rsid w:val="009E3E67"/>
    <w:rsid w:val="009E51CE"/>
    <w:rsid w:val="009E5D82"/>
    <w:rsid w:val="009E734D"/>
    <w:rsid w:val="009E7668"/>
    <w:rsid w:val="009F0667"/>
    <w:rsid w:val="009F0DBB"/>
    <w:rsid w:val="009F0EAA"/>
    <w:rsid w:val="009F38A2"/>
    <w:rsid w:val="009F42AB"/>
    <w:rsid w:val="009F5241"/>
    <w:rsid w:val="009F5A9B"/>
    <w:rsid w:val="009F78CB"/>
    <w:rsid w:val="009F79DC"/>
    <w:rsid w:val="00A00A06"/>
    <w:rsid w:val="00A0309C"/>
    <w:rsid w:val="00A0599B"/>
    <w:rsid w:val="00A14107"/>
    <w:rsid w:val="00A16D96"/>
    <w:rsid w:val="00A20DBC"/>
    <w:rsid w:val="00A23FE4"/>
    <w:rsid w:val="00A2434D"/>
    <w:rsid w:val="00A303EE"/>
    <w:rsid w:val="00A32EDC"/>
    <w:rsid w:val="00A35817"/>
    <w:rsid w:val="00A36C54"/>
    <w:rsid w:val="00A37466"/>
    <w:rsid w:val="00A37BC2"/>
    <w:rsid w:val="00A4076A"/>
    <w:rsid w:val="00A40CC4"/>
    <w:rsid w:val="00A410CD"/>
    <w:rsid w:val="00A41431"/>
    <w:rsid w:val="00A4301D"/>
    <w:rsid w:val="00A43B95"/>
    <w:rsid w:val="00A45B06"/>
    <w:rsid w:val="00A461D3"/>
    <w:rsid w:val="00A46B70"/>
    <w:rsid w:val="00A50005"/>
    <w:rsid w:val="00A502B4"/>
    <w:rsid w:val="00A51997"/>
    <w:rsid w:val="00A52C01"/>
    <w:rsid w:val="00A55391"/>
    <w:rsid w:val="00A63318"/>
    <w:rsid w:val="00A65678"/>
    <w:rsid w:val="00A66D3B"/>
    <w:rsid w:val="00A70DD1"/>
    <w:rsid w:val="00A716CA"/>
    <w:rsid w:val="00A7397B"/>
    <w:rsid w:val="00A77068"/>
    <w:rsid w:val="00A8125D"/>
    <w:rsid w:val="00A81299"/>
    <w:rsid w:val="00A82227"/>
    <w:rsid w:val="00A847E1"/>
    <w:rsid w:val="00A85979"/>
    <w:rsid w:val="00A85C20"/>
    <w:rsid w:val="00A85CD0"/>
    <w:rsid w:val="00A86058"/>
    <w:rsid w:val="00A866CF"/>
    <w:rsid w:val="00A86985"/>
    <w:rsid w:val="00A90771"/>
    <w:rsid w:val="00A90BD5"/>
    <w:rsid w:val="00A90F41"/>
    <w:rsid w:val="00A91FB5"/>
    <w:rsid w:val="00A9250E"/>
    <w:rsid w:val="00A943B2"/>
    <w:rsid w:val="00A95C72"/>
    <w:rsid w:val="00A9602E"/>
    <w:rsid w:val="00A965CC"/>
    <w:rsid w:val="00AA0222"/>
    <w:rsid w:val="00AA0928"/>
    <w:rsid w:val="00AA1F98"/>
    <w:rsid w:val="00AA4BB9"/>
    <w:rsid w:val="00AA76B5"/>
    <w:rsid w:val="00AB07A4"/>
    <w:rsid w:val="00AB0B34"/>
    <w:rsid w:val="00AB181B"/>
    <w:rsid w:val="00AB22DE"/>
    <w:rsid w:val="00AB2E64"/>
    <w:rsid w:val="00AB4D75"/>
    <w:rsid w:val="00AB4F81"/>
    <w:rsid w:val="00AB6219"/>
    <w:rsid w:val="00AB66BC"/>
    <w:rsid w:val="00AB6DD7"/>
    <w:rsid w:val="00AC244F"/>
    <w:rsid w:val="00AC3B69"/>
    <w:rsid w:val="00AC3E58"/>
    <w:rsid w:val="00AC4A4E"/>
    <w:rsid w:val="00AC6720"/>
    <w:rsid w:val="00AC763F"/>
    <w:rsid w:val="00AC7ECD"/>
    <w:rsid w:val="00AD0766"/>
    <w:rsid w:val="00AD083F"/>
    <w:rsid w:val="00AD0C52"/>
    <w:rsid w:val="00AD2170"/>
    <w:rsid w:val="00AD275A"/>
    <w:rsid w:val="00AD2993"/>
    <w:rsid w:val="00AD3D6D"/>
    <w:rsid w:val="00AD6F86"/>
    <w:rsid w:val="00AD7F00"/>
    <w:rsid w:val="00AE0559"/>
    <w:rsid w:val="00AE0AC3"/>
    <w:rsid w:val="00AE0D97"/>
    <w:rsid w:val="00AE11D5"/>
    <w:rsid w:val="00AE22BA"/>
    <w:rsid w:val="00AE3B5F"/>
    <w:rsid w:val="00AE3CFD"/>
    <w:rsid w:val="00AE55D2"/>
    <w:rsid w:val="00AE7106"/>
    <w:rsid w:val="00AF06CB"/>
    <w:rsid w:val="00AF1B84"/>
    <w:rsid w:val="00AF37BE"/>
    <w:rsid w:val="00AF4D16"/>
    <w:rsid w:val="00AF59AD"/>
    <w:rsid w:val="00AF5B4A"/>
    <w:rsid w:val="00AF6215"/>
    <w:rsid w:val="00AF7138"/>
    <w:rsid w:val="00B03428"/>
    <w:rsid w:val="00B035CC"/>
    <w:rsid w:val="00B0553B"/>
    <w:rsid w:val="00B06606"/>
    <w:rsid w:val="00B068D9"/>
    <w:rsid w:val="00B06E83"/>
    <w:rsid w:val="00B103CA"/>
    <w:rsid w:val="00B12ED0"/>
    <w:rsid w:val="00B13E7A"/>
    <w:rsid w:val="00B14087"/>
    <w:rsid w:val="00B1505D"/>
    <w:rsid w:val="00B219F1"/>
    <w:rsid w:val="00B222AD"/>
    <w:rsid w:val="00B22E5B"/>
    <w:rsid w:val="00B23CE0"/>
    <w:rsid w:val="00B26878"/>
    <w:rsid w:val="00B268F6"/>
    <w:rsid w:val="00B309AE"/>
    <w:rsid w:val="00B325F0"/>
    <w:rsid w:val="00B34418"/>
    <w:rsid w:val="00B3452A"/>
    <w:rsid w:val="00B34F64"/>
    <w:rsid w:val="00B42204"/>
    <w:rsid w:val="00B45E08"/>
    <w:rsid w:val="00B47384"/>
    <w:rsid w:val="00B51E8B"/>
    <w:rsid w:val="00B522B8"/>
    <w:rsid w:val="00B53061"/>
    <w:rsid w:val="00B5338E"/>
    <w:rsid w:val="00B5561F"/>
    <w:rsid w:val="00B55F0E"/>
    <w:rsid w:val="00B624E9"/>
    <w:rsid w:val="00B7039A"/>
    <w:rsid w:val="00B708C7"/>
    <w:rsid w:val="00B7103C"/>
    <w:rsid w:val="00B7176D"/>
    <w:rsid w:val="00B73A71"/>
    <w:rsid w:val="00B73B52"/>
    <w:rsid w:val="00B80087"/>
    <w:rsid w:val="00B80C95"/>
    <w:rsid w:val="00B816CE"/>
    <w:rsid w:val="00B827FF"/>
    <w:rsid w:val="00B8445D"/>
    <w:rsid w:val="00B846E1"/>
    <w:rsid w:val="00B9000E"/>
    <w:rsid w:val="00B9010E"/>
    <w:rsid w:val="00B9061C"/>
    <w:rsid w:val="00B90A67"/>
    <w:rsid w:val="00B93351"/>
    <w:rsid w:val="00B93FAF"/>
    <w:rsid w:val="00B96AC7"/>
    <w:rsid w:val="00B96DBD"/>
    <w:rsid w:val="00B9744A"/>
    <w:rsid w:val="00B976CC"/>
    <w:rsid w:val="00BA00DC"/>
    <w:rsid w:val="00BA0D89"/>
    <w:rsid w:val="00BA5622"/>
    <w:rsid w:val="00BA6C89"/>
    <w:rsid w:val="00BB53BD"/>
    <w:rsid w:val="00BC0D47"/>
    <w:rsid w:val="00BC2074"/>
    <w:rsid w:val="00BC36F0"/>
    <w:rsid w:val="00BC39A5"/>
    <w:rsid w:val="00BC3CBC"/>
    <w:rsid w:val="00BC46FA"/>
    <w:rsid w:val="00BC622C"/>
    <w:rsid w:val="00BD0813"/>
    <w:rsid w:val="00BD241F"/>
    <w:rsid w:val="00BD403D"/>
    <w:rsid w:val="00BD5C05"/>
    <w:rsid w:val="00BD7002"/>
    <w:rsid w:val="00BD7EB1"/>
    <w:rsid w:val="00BE2759"/>
    <w:rsid w:val="00BE3895"/>
    <w:rsid w:val="00BE3C7B"/>
    <w:rsid w:val="00BE4224"/>
    <w:rsid w:val="00BF2E42"/>
    <w:rsid w:val="00BF3B2A"/>
    <w:rsid w:val="00BF4E8D"/>
    <w:rsid w:val="00BF6512"/>
    <w:rsid w:val="00C00CFF"/>
    <w:rsid w:val="00C02751"/>
    <w:rsid w:val="00C0385C"/>
    <w:rsid w:val="00C0427F"/>
    <w:rsid w:val="00C05AE8"/>
    <w:rsid w:val="00C102B5"/>
    <w:rsid w:val="00C14296"/>
    <w:rsid w:val="00C148C1"/>
    <w:rsid w:val="00C21F5E"/>
    <w:rsid w:val="00C23138"/>
    <w:rsid w:val="00C235CA"/>
    <w:rsid w:val="00C25CB9"/>
    <w:rsid w:val="00C27641"/>
    <w:rsid w:val="00C32DF2"/>
    <w:rsid w:val="00C32E7A"/>
    <w:rsid w:val="00C422BC"/>
    <w:rsid w:val="00C42B47"/>
    <w:rsid w:val="00C438CE"/>
    <w:rsid w:val="00C44B17"/>
    <w:rsid w:val="00C44BBE"/>
    <w:rsid w:val="00C469A4"/>
    <w:rsid w:val="00C507C3"/>
    <w:rsid w:val="00C517A6"/>
    <w:rsid w:val="00C51D92"/>
    <w:rsid w:val="00C52188"/>
    <w:rsid w:val="00C5251F"/>
    <w:rsid w:val="00C5358D"/>
    <w:rsid w:val="00C56AB8"/>
    <w:rsid w:val="00C56D03"/>
    <w:rsid w:val="00C607F8"/>
    <w:rsid w:val="00C61603"/>
    <w:rsid w:val="00C62BBB"/>
    <w:rsid w:val="00C6302E"/>
    <w:rsid w:val="00C63B3B"/>
    <w:rsid w:val="00C64AD3"/>
    <w:rsid w:val="00C66A8B"/>
    <w:rsid w:val="00C731E8"/>
    <w:rsid w:val="00C770B0"/>
    <w:rsid w:val="00C77FB9"/>
    <w:rsid w:val="00C80108"/>
    <w:rsid w:val="00C8085F"/>
    <w:rsid w:val="00C832E2"/>
    <w:rsid w:val="00C83B2F"/>
    <w:rsid w:val="00C83DF8"/>
    <w:rsid w:val="00C84FA2"/>
    <w:rsid w:val="00C858FA"/>
    <w:rsid w:val="00C867A7"/>
    <w:rsid w:val="00C8699C"/>
    <w:rsid w:val="00C86A37"/>
    <w:rsid w:val="00C878C0"/>
    <w:rsid w:val="00C91232"/>
    <w:rsid w:val="00C92200"/>
    <w:rsid w:val="00C945DD"/>
    <w:rsid w:val="00C97B30"/>
    <w:rsid w:val="00CA0DC9"/>
    <w:rsid w:val="00CA391F"/>
    <w:rsid w:val="00CA43A1"/>
    <w:rsid w:val="00CA4E7A"/>
    <w:rsid w:val="00CA4E97"/>
    <w:rsid w:val="00CA5249"/>
    <w:rsid w:val="00CB2DEC"/>
    <w:rsid w:val="00CB4472"/>
    <w:rsid w:val="00CB59D1"/>
    <w:rsid w:val="00CB710C"/>
    <w:rsid w:val="00CC0F54"/>
    <w:rsid w:val="00CC3D0D"/>
    <w:rsid w:val="00CC3D7D"/>
    <w:rsid w:val="00CC6FA2"/>
    <w:rsid w:val="00CD23DC"/>
    <w:rsid w:val="00CD27C9"/>
    <w:rsid w:val="00CD33C4"/>
    <w:rsid w:val="00CD4424"/>
    <w:rsid w:val="00CD4F24"/>
    <w:rsid w:val="00CD5730"/>
    <w:rsid w:val="00CD5B9E"/>
    <w:rsid w:val="00CD7733"/>
    <w:rsid w:val="00CE10E7"/>
    <w:rsid w:val="00CE17A5"/>
    <w:rsid w:val="00CE3F47"/>
    <w:rsid w:val="00CE44C5"/>
    <w:rsid w:val="00CE6D6D"/>
    <w:rsid w:val="00CF1C3C"/>
    <w:rsid w:val="00CF1F0A"/>
    <w:rsid w:val="00CF561E"/>
    <w:rsid w:val="00CF6520"/>
    <w:rsid w:val="00CF65CD"/>
    <w:rsid w:val="00CF7499"/>
    <w:rsid w:val="00CF7B71"/>
    <w:rsid w:val="00D01E62"/>
    <w:rsid w:val="00D03003"/>
    <w:rsid w:val="00D0366F"/>
    <w:rsid w:val="00D0440F"/>
    <w:rsid w:val="00D044DD"/>
    <w:rsid w:val="00D051DE"/>
    <w:rsid w:val="00D1044D"/>
    <w:rsid w:val="00D105D7"/>
    <w:rsid w:val="00D11503"/>
    <w:rsid w:val="00D14796"/>
    <w:rsid w:val="00D1613E"/>
    <w:rsid w:val="00D16D7D"/>
    <w:rsid w:val="00D17ACB"/>
    <w:rsid w:val="00D20077"/>
    <w:rsid w:val="00D23445"/>
    <w:rsid w:val="00D26EB7"/>
    <w:rsid w:val="00D308D9"/>
    <w:rsid w:val="00D30DD9"/>
    <w:rsid w:val="00D31C54"/>
    <w:rsid w:val="00D337C0"/>
    <w:rsid w:val="00D349D1"/>
    <w:rsid w:val="00D37D9A"/>
    <w:rsid w:val="00D40133"/>
    <w:rsid w:val="00D4229E"/>
    <w:rsid w:val="00D44BBC"/>
    <w:rsid w:val="00D47E3F"/>
    <w:rsid w:val="00D53725"/>
    <w:rsid w:val="00D54DEE"/>
    <w:rsid w:val="00D5513A"/>
    <w:rsid w:val="00D572EB"/>
    <w:rsid w:val="00D61F41"/>
    <w:rsid w:val="00D62C77"/>
    <w:rsid w:val="00D62DA7"/>
    <w:rsid w:val="00D64266"/>
    <w:rsid w:val="00D679DE"/>
    <w:rsid w:val="00D7081E"/>
    <w:rsid w:val="00D70981"/>
    <w:rsid w:val="00D726E8"/>
    <w:rsid w:val="00D743B6"/>
    <w:rsid w:val="00D74957"/>
    <w:rsid w:val="00D77F94"/>
    <w:rsid w:val="00D80059"/>
    <w:rsid w:val="00D81B3B"/>
    <w:rsid w:val="00D83201"/>
    <w:rsid w:val="00D84113"/>
    <w:rsid w:val="00D86132"/>
    <w:rsid w:val="00D92DC5"/>
    <w:rsid w:val="00D92E2E"/>
    <w:rsid w:val="00D94F12"/>
    <w:rsid w:val="00DA1A87"/>
    <w:rsid w:val="00DB1822"/>
    <w:rsid w:val="00DB2075"/>
    <w:rsid w:val="00DB398E"/>
    <w:rsid w:val="00DB4C93"/>
    <w:rsid w:val="00DB525D"/>
    <w:rsid w:val="00DB55B9"/>
    <w:rsid w:val="00DB57FA"/>
    <w:rsid w:val="00DB6EE5"/>
    <w:rsid w:val="00DB7077"/>
    <w:rsid w:val="00DC106A"/>
    <w:rsid w:val="00DC2413"/>
    <w:rsid w:val="00DC3CE7"/>
    <w:rsid w:val="00DC42EF"/>
    <w:rsid w:val="00DC5857"/>
    <w:rsid w:val="00DC739A"/>
    <w:rsid w:val="00DD29DC"/>
    <w:rsid w:val="00DD4E93"/>
    <w:rsid w:val="00DD4F5E"/>
    <w:rsid w:val="00DD5BBB"/>
    <w:rsid w:val="00DD7B7E"/>
    <w:rsid w:val="00DE09D9"/>
    <w:rsid w:val="00DE1C54"/>
    <w:rsid w:val="00DE1FE6"/>
    <w:rsid w:val="00DE30A8"/>
    <w:rsid w:val="00DE60DD"/>
    <w:rsid w:val="00DE63F9"/>
    <w:rsid w:val="00DF01E1"/>
    <w:rsid w:val="00DF1A83"/>
    <w:rsid w:val="00DF238C"/>
    <w:rsid w:val="00DF3369"/>
    <w:rsid w:val="00DF4393"/>
    <w:rsid w:val="00E021E3"/>
    <w:rsid w:val="00E022D0"/>
    <w:rsid w:val="00E026AA"/>
    <w:rsid w:val="00E04447"/>
    <w:rsid w:val="00E06970"/>
    <w:rsid w:val="00E079CA"/>
    <w:rsid w:val="00E1167F"/>
    <w:rsid w:val="00E1373D"/>
    <w:rsid w:val="00E140B2"/>
    <w:rsid w:val="00E15CA5"/>
    <w:rsid w:val="00E20A2C"/>
    <w:rsid w:val="00E20E15"/>
    <w:rsid w:val="00E22258"/>
    <w:rsid w:val="00E251B6"/>
    <w:rsid w:val="00E27F78"/>
    <w:rsid w:val="00E313DA"/>
    <w:rsid w:val="00E32A95"/>
    <w:rsid w:val="00E34923"/>
    <w:rsid w:val="00E34CA5"/>
    <w:rsid w:val="00E35E89"/>
    <w:rsid w:val="00E36862"/>
    <w:rsid w:val="00E404BD"/>
    <w:rsid w:val="00E404F9"/>
    <w:rsid w:val="00E414CC"/>
    <w:rsid w:val="00E42A62"/>
    <w:rsid w:val="00E4491D"/>
    <w:rsid w:val="00E45A96"/>
    <w:rsid w:val="00E467E7"/>
    <w:rsid w:val="00E50F60"/>
    <w:rsid w:val="00E539E7"/>
    <w:rsid w:val="00E54488"/>
    <w:rsid w:val="00E553A1"/>
    <w:rsid w:val="00E66BA4"/>
    <w:rsid w:val="00E66F0F"/>
    <w:rsid w:val="00E7095D"/>
    <w:rsid w:val="00E71CC5"/>
    <w:rsid w:val="00E71F2C"/>
    <w:rsid w:val="00E72FFF"/>
    <w:rsid w:val="00E73F7F"/>
    <w:rsid w:val="00E769C4"/>
    <w:rsid w:val="00E80CC5"/>
    <w:rsid w:val="00E81CC9"/>
    <w:rsid w:val="00E825CA"/>
    <w:rsid w:val="00E84118"/>
    <w:rsid w:val="00E84B8C"/>
    <w:rsid w:val="00E857E0"/>
    <w:rsid w:val="00E861D9"/>
    <w:rsid w:val="00E86979"/>
    <w:rsid w:val="00E869DF"/>
    <w:rsid w:val="00E909DE"/>
    <w:rsid w:val="00E92EF9"/>
    <w:rsid w:val="00E95956"/>
    <w:rsid w:val="00EA045C"/>
    <w:rsid w:val="00EA1519"/>
    <w:rsid w:val="00EA1D11"/>
    <w:rsid w:val="00EA3214"/>
    <w:rsid w:val="00EA4015"/>
    <w:rsid w:val="00EB0407"/>
    <w:rsid w:val="00EB0536"/>
    <w:rsid w:val="00EB2587"/>
    <w:rsid w:val="00EB42A8"/>
    <w:rsid w:val="00EB5601"/>
    <w:rsid w:val="00EC501A"/>
    <w:rsid w:val="00EC526F"/>
    <w:rsid w:val="00EC5C01"/>
    <w:rsid w:val="00EC7BC6"/>
    <w:rsid w:val="00ED0A75"/>
    <w:rsid w:val="00ED544B"/>
    <w:rsid w:val="00EE032A"/>
    <w:rsid w:val="00EF08E3"/>
    <w:rsid w:val="00EF2E4D"/>
    <w:rsid w:val="00EF3427"/>
    <w:rsid w:val="00EF5074"/>
    <w:rsid w:val="00F01A1B"/>
    <w:rsid w:val="00F020F8"/>
    <w:rsid w:val="00F0278D"/>
    <w:rsid w:val="00F0387D"/>
    <w:rsid w:val="00F06C0B"/>
    <w:rsid w:val="00F07861"/>
    <w:rsid w:val="00F07ADE"/>
    <w:rsid w:val="00F10410"/>
    <w:rsid w:val="00F10924"/>
    <w:rsid w:val="00F121F5"/>
    <w:rsid w:val="00F1548E"/>
    <w:rsid w:val="00F15CEC"/>
    <w:rsid w:val="00F16569"/>
    <w:rsid w:val="00F16979"/>
    <w:rsid w:val="00F178DE"/>
    <w:rsid w:val="00F17EF3"/>
    <w:rsid w:val="00F215E8"/>
    <w:rsid w:val="00F26E30"/>
    <w:rsid w:val="00F31ECF"/>
    <w:rsid w:val="00F34445"/>
    <w:rsid w:val="00F34BA8"/>
    <w:rsid w:val="00F40B38"/>
    <w:rsid w:val="00F43209"/>
    <w:rsid w:val="00F444B7"/>
    <w:rsid w:val="00F45304"/>
    <w:rsid w:val="00F46AB9"/>
    <w:rsid w:val="00F46B5A"/>
    <w:rsid w:val="00F46CC7"/>
    <w:rsid w:val="00F50E71"/>
    <w:rsid w:val="00F519E6"/>
    <w:rsid w:val="00F52633"/>
    <w:rsid w:val="00F53DC4"/>
    <w:rsid w:val="00F5418B"/>
    <w:rsid w:val="00F57032"/>
    <w:rsid w:val="00F6104A"/>
    <w:rsid w:val="00F65292"/>
    <w:rsid w:val="00F66234"/>
    <w:rsid w:val="00F72F19"/>
    <w:rsid w:val="00F75CA3"/>
    <w:rsid w:val="00F76B77"/>
    <w:rsid w:val="00F77457"/>
    <w:rsid w:val="00F80238"/>
    <w:rsid w:val="00F81642"/>
    <w:rsid w:val="00F83572"/>
    <w:rsid w:val="00F8357C"/>
    <w:rsid w:val="00F8564E"/>
    <w:rsid w:val="00F85E4C"/>
    <w:rsid w:val="00F86215"/>
    <w:rsid w:val="00F86688"/>
    <w:rsid w:val="00F8713D"/>
    <w:rsid w:val="00F87ECD"/>
    <w:rsid w:val="00F90B68"/>
    <w:rsid w:val="00F90BFC"/>
    <w:rsid w:val="00F91888"/>
    <w:rsid w:val="00F947AE"/>
    <w:rsid w:val="00F94EF4"/>
    <w:rsid w:val="00FA0A5E"/>
    <w:rsid w:val="00FA1C4A"/>
    <w:rsid w:val="00FA3625"/>
    <w:rsid w:val="00FA64DA"/>
    <w:rsid w:val="00FA652A"/>
    <w:rsid w:val="00FA7D7E"/>
    <w:rsid w:val="00FB2DA0"/>
    <w:rsid w:val="00FB2EF5"/>
    <w:rsid w:val="00FB3663"/>
    <w:rsid w:val="00FB4C0B"/>
    <w:rsid w:val="00FB5BF5"/>
    <w:rsid w:val="00FB6C47"/>
    <w:rsid w:val="00FB702E"/>
    <w:rsid w:val="00FB7E2B"/>
    <w:rsid w:val="00FC1729"/>
    <w:rsid w:val="00FC21E2"/>
    <w:rsid w:val="00FC2995"/>
    <w:rsid w:val="00FC2AEC"/>
    <w:rsid w:val="00FC345F"/>
    <w:rsid w:val="00FC49DE"/>
    <w:rsid w:val="00FC4B72"/>
    <w:rsid w:val="00FC4D89"/>
    <w:rsid w:val="00FC5206"/>
    <w:rsid w:val="00FC59A4"/>
    <w:rsid w:val="00FD028C"/>
    <w:rsid w:val="00FD2217"/>
    <w:rsid w:val="00FD4DE4"/>
    <w:rsid w:val="00FD5AA1"/>
    <w:rsid w:val="00FD76CC"/>
    <w:rsid w:val="00FE097C"/>
    <w:rsid w:val="00FE0CF9"/>
    <w:rsid w:val="00FE3F4D"/>
    <w:rsid w:val="00FE45A9"/>
    <w:rsid w:val="00FE5074"/>
    <w:rsid w:val="00FE5DBC"/>
    <w:rsid w:val="00FE6FDC"/>
    <w:rsid w:val="00FE71D7"/>
    <w:rsid w:val="00FE7751"/>
    <w:rsid w:val="00FE7E29"/>
    <w:rsid w:val="00FF014F"/>
    <w:rsid w:val="00FF03D7"/>
    <w:rsid w:val="00FF1D19"/>
    <w:rsid w:val="00FF6451"/>
    <w:rsid w:val="00FF793B"/>
    <w:rsid w:val="56805311"/>
    <w:rsid w:val="674DB617"/>
    <w:rsid w:val="6DBC7B4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shapedefaults>
    <o:shapelayout v:ext="edit">
      <o:idmap v:ext="edit" data="2"/>
    </o:shapelayout>
  </w:shapeDefaults>
  <w:decimalSymbol w:val="."/>
  <w:listSeparator w:val=","/>
  <w14:docId w14:val="7D77D0BB"/>
  <w15:docId w15:val="{7EB7E7D8-B2CE-47FD-B7C7-46772248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7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qFormat="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iPriority="2"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6904"/>
    <w:pPr>
      <w:spacing w:after="120"/>
    </w:pPr>
    <w:rPr>
      <w:rFonts w:eastAsia="Calibri"/>
      <w:color w:val="000000"/>
    </w:rPr>
  </w:style>
  <w:style w:type="paragraph" w:styleId="Heading1">
    <w:name w:val="heading 1"/>
    <w:next w:val="BodyText"/>
    <w:link w:val="Heading1Char"/>
    <w:uiPriority w:val="1"/>
    <w:qFormat/>
    <w:rsid w:val="00D337C0"/>
    <w:pPr>
      <w:keepNext/>
      <w:keepLines/>
      <w:pageBreakBefore/>
      <w:numPr>
        <w:numId w:val="14"/>
      </w:numPr>
      <w:tabs>
        <w:tab w:val="left" w:pos="1134"/>
      </w:tabs>
      <w:spacing w:after="960" w:line="480" w:lineRule="exact"/>
      <w:ind w:left="1134" w:hanging="1134"/>
      <w:outlineLvl w:val="0"/>
    </w:pPr>
    <w:rPr>
      <w:rFonts w:eastAsiaTheme="majorEastAsia" w:cstheme="majorBidi"/>
      <w:b/>
      <w:bCs/>
      <w:color w:val="004C97" w:themeColor="accent1"/>
      <w:sz w:val="44"/>
      <w:szCs w:val="28"/>
    </w:rPr>
  </w:style>
  <w:style w:type="paragraph" w:styleId="Heading2">
    <w:name w:val="heading 2"/>
    <w:basedOn w:val="Heading1"/>
    <w:next w:val="BodyText"/>
    <w:link w:val="Heading2Char"/>
    <w:uiPriority w:val="1"/>
    <w:qFormat/>
    <w:rsid w:val="00A90F41"/>
    <w:pPr>
      <w:pageBreakBefore w:val="0"/>
      <w:numPr>
        <w:ilvl w:val="1"/>
      </w:numPr>
      <w:spacing w:before="360" w:after="240" w:line="240" w:lineRule="auto"/>
      <w:ind w:left="1134" w:hanging="1134"/>
      <w:outlineLvl w:val="1"/>
    </w:pPr>
    <w:rPr>
      <w:b w:val="0"/>
      <w:sz w:val="32"/>
      <w:szCs w:val="26"/>
    </w:rPr>
  </w:style>
  <w:style w:type="paragraph" w:styleId="Heading3">
    <w:name w:val="heading 3"/>
    <w:basedOn w:val="Heading2"/>
    <w:next w:val="BodyText"/>
    <w:link w:val="Heading3Char"/>
    <w:uiPriority w:val="1"/>
    <w:qFormat/>
    <w:rsid w:val="00874202"/>
    <w:pPr>
      <w:numPr>
        <w:ilvl w:val="2"/>
      </w:numPr>
      <w:ind w:left="1134" w:hanging="1134"/>
      <w:outlineLvl w:val="2"/>
    </w:pPr>
    <w:rPr>
      <w:b/>
      <w:spacing w:val="6"/>
      <w:sz w:val="26"/>
    </w:rPr>
  </w:style>
  <w:style w:type="paragraph" w:styleId="Heading4">
    <w:name w:val="heading 4"/>
    <w:basedOn w:val="Heading3"/>
    <w:next w:val="BodyText"/>
    <w:link w:val="Heading4Char"/>
    <w:uiPriority w:val="1"/>
    <w:qFormat/>
    <w:rsid w:val="00E026AA"/>
    <w:pPr>
      <w:numPr>
        <w:ilvl w:val="0"/>
        <w:numId w:val="0"/>
      </w:numPr>
      <w:spacing w:before="240" w:after="120"/>
      <w:outlineLvl w:val="3"/>
    </w:pPr>
    <w:rPr>
      <w:b w:val="0"/>
      <w:spacing w:val="10"/>
      <w:sz w:val="28"/>
      <w:szCs w:val="24"/>
    </w:rPr>
  </w:style>
  <w:style w:type="paragraph" w:styleId="Heading5">
    <w:name w:val="heading 5"/>
    <w:basedOn w:val="Heading4"/>
    <w:next w:val="BodyText"/>
    <w:link w:val="Heading5Char"/>
    <w:uiPriority w:val="1"/>
    <w:qFormat/>
    <w:rsid w:val="00E026AA"/>
    <w:pPr>
      <w:outlineLvl w:val="4"/>
    </w:pPr>
    <w:rPr>
      <w:b/>
      <w:iCs/>
      <w:caps/>
      <w:color w:val="auto"/>
      <w:sz w:val="22"/>
      <w:szCs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3E6CDA"/>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337C0"/>
    <w:rPr>
      <w:rFonts w:eastAsiaTheme="majorEastAsia" w:cstheme="majorBidi"/>
      <w:b/>
      <w:bCs/>
      <w:color w:val="004C97" w:themeColor="accent1"/>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535659" w:themeColor="accent2"/>
      <w:sz w:val="32"/>
      <w:szCs w:val="26"/>
    </w:rPr>
  </w:style>
  <w:style w:type="character" w:customStyle="1" w:styleId="Heading3Char">
    <w:name w:val="Heading 3 Char"/>
    <w:basedOn w:val="DefaultParagraphFont"/>
    <w:link w:val="Heading3"/>
    <w:uiPriority w:val="1"/>
    <w:locked/>
    <w:rsid w:val="00874202"/>
    <w:rPr>
      <w:rFonts w:eastAsiaTheme="majorEastAsia" w:cstheme="majorBidi"/>
      <w:b/>
      <w:bCs/>
      <w:color w:val="004C97" w:themeColor="accent1"/>
      <w:spacing w:val="6"/>
      <w:sz w:val="26"/>
      <w:szCs w:val="26"/>
    </w:rPr>
  </w:style>
  <w:style w:type="character" w:customStyle="1" w:styleId="Heading4Char">
    <w:name w:val="Heading 4 Char"/>
    <w:basedOn w:val="DefaultParagraphFont"/>
    <w:link w:val="Heading4"/>
    <w:uiPriority w:val="1"/>
    <w:locked/>
    <w:rsid w:val="00E026AA"/>
    <w:rPr>
      <w:rFonts w:eastAsiaTheme="majorEastAsia" w:cstheme="majorBidi"/>
      <w:bCs/>
      <w:color w:val="004C97" w:themeColor="accent1"/>
      <w:spacing w:val="10"/>
      <w:sz w:val="28"/>
      <w:szCs w:val="24"/>
    </w:rPr>
  </w:style>
  <w:style w:type="character" w:customStyle="1" w:styleId="Heading5Char">
    <w:name w:val="Heading 5 Char"/>
    <w:basedOn w:val="DefaultParagraphFont"/>
    <w:link w:val="Heading5"/>
    <w:uiPriority w:val="1"/>
    <w:locked/>
    <w:rsid w:val="00E026AA"/>
    <w:rPr>
      <w:rFonts w:eastAsiaTheme="majorEastAsia" w:cstheme="majorBidi"/>
      <w:b/>
      <w:bCs/>
      <w:iCs/>
      <w:caps/>
      <w:spacing w:val="10"/>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3E6CDA"/>
    <w:rPr>
      <w:rFonts w:eastAsiaTheme="majorEastAsia" w:cstheme="majorBidi"/>
      <w:b/>
      <w:bCs/>
      <w:color w:val="004C97" w:themeColor="accent1"/>
      <w:sz w:val="44"/>
      <w:szCs w:val="28"/>
    </w:rPr>
  </w:style>
  <w:style w:type="paragraph" w:styleId="Footer">
    <w:name w:val="footer"/>
    <w:basedOn w:val="BodyText"/>
    <w:link w:val="FooterChar"/>
    <w:uiPriority w:val="99"/>
    <w:qFormat/>
    <w:rsid w:val="005D6F45"/>
    <w:pPr>
      <w:tabs>
        <w:tab w:val="center" w:pos="4513"/>
        <w:tab w:val="right" w:pos="9026"/>
      </w:tabs>
      <w:spacing w:before="0" w:line="220" w:lineRule="atLeast"/>
      <w:jc w:val="right"/>
    </w:pPr>
    <w:rPr>
      <w:color w:val="004C97" w:themeColor="accent1"/>
      <w:sz w:val="16"/>
    </w:rPr>
  </w:style>
  <w:style w:type="character" w:customStyle="1" w:styleId="FooterChar">
    <w:name w:val="Footer Char"/>
    <w:basedOn w:val="DefaultParagraphFont"/>
    <w:link w:val="Footer"/>
    <w:uiPriority w:val="99"/>
    <w:locked/>
    <w:rsid w:val="005D6F45"/>
    <w:rPr>
      <w:rFonts w:eastAsia="Calibri"/>
      <w:color w:val="004C97" w:themeColor="accent1"/>
      <w:sz w:val="16"/>
    </w:rPr>
  </w:style>
  <w:style w:type="paragraph" w:styleId="ListBullet">
    <w:name w:val="List Bullet"/>
    <w:basedOn w:val="BodyText"/>
    <w:next w:val="BodyText"/>
    <w:uiPriority w:val="2"/>
    <w:qFormat/>
    <w:rsid w:val="00855D87"/>
    <w:pPr>
      <w:numPr>
        <w:numId w:val="5"/>
      </w:numPr>
      <w:tabs>
        <w:tab w:val="clear" w:pos="199"/>
        <w:tab w:val="left" w:pos="397"/>
      </w:tabs>
      <w:spacing w:before="60" w:after="60"/>
      <w:ind w:left="397" w:hanging="397"/>
    </w:pPr>
  </w:style>
  <w:style w:type="paragraph" w:styleId="ListNumber">
    <w:name w:val="List Number"/>
    <w:basedOn w:val="BodyText"/>
    <w:next w:val="BodyText"/>
    <w:uiPriority w:val="2"/>
    <w:qFormat/>
    <w:rsid w:val="00855D87"/>
    <w:pPr>
      <w:numPr>
        <w:numId w:val="9"/>
      </w:numPr>
      <w:tabs>
        <w:tab w:val="clear" w:pos="227"/>
        <w:tab w:val="left" w:pos="397"/>
      </w:tabs>
      <w:ind w:left="397" w:hanging="397"/>
    </w:pPr>
  </w:style>
  <w:style w:type="paragraph" w:styleId="ListBullet2">
    <w:name w:val="List Bullet 2"/>
    <w:basedOn w:val="ListBullet"/>
    <w:next w:val="BodyText"/>
    <w:uiPriority w:val="2"/>
    <w:qFormat/>
    <w:rsid w:val="00855D87"/>
    <w:pPr>
      <w:numPr>
        <w:ilvl w:val="1"/>
      </w:numPr>
      <w:tabs>
        <w:tab w:val="clear" w:pos="397"/>
        <w:tab w:val="left" w:pos="794"/>
      </w:tabs>
      <w:ind w:left="794" w:hanging="357"/>
    </w:pPr>
  </w:style>
  <w:style w:type="paragraph" w:styleId="TOC1">
    <w:name w:val="toc 1"/>
    <w:basedOn w:val="BodyText"/>
    <w:next w:val="TOC2"/>
    <w:uiPriority w:val="39"/>
    <w:unhideWhenUsed/>
    <w:qFormat/>
    <w:rsid w:val="009C71A6"/>
    <w:pPr>
      <w:pBdr>
        <w:top w:val="single" w:sz="4" w:space="1" w:color="535659" w:themeColor="accent2"/>
        <w:left w:val="single" w:sz="4" w:space="0" w:color="535659" w:themeColor="accent2"/>
        <w:bottom w:val="single" w:sz="4" w:space="1" w:color="535659" w:themeColor="accent2"/>
        <w:right w:val="single" w:sz="4" w:space="0" w:color="535659" w:themeColor="accent2"/>
      </w:pBdr>
      <w:shd w:val="clear" w:color="auto" w:fill="53565A"/>
      <w:tabs>
        <w:tab w:val="left" w:pos="737"/>
        <w:tab w:val="right" w:pos="9639"/>
      </w:tabs>
      <w:spacing w:before="240" w:after="180"/>
    </w:pPr>
    <w:rPr>
      <w:b/>
      <w:noProof/>
      <w:color w:val="FFFFFF" w:themeColor="background1"/>
    </w:rPr>
  </w:style>
  <w:style w:type="paragraph" w:styleId="TOC2">
    <w:name w:val="toc 2"/>
    <w:basedOn w:val="BodyText"/>
    <w:uiPriority w:val="39"/>
    <w:unhideWhenUsed/>
    <w:rsid w:val="00F01A1B"/>
    <w:pPr>
      <w:tabs>
        <w:tab w:val="left" w:pos="737"/>
        <w:tab w:val="left" w:pos="1531"/>
        <w:tab w:val="right" w:leader="dot" w:pos="9639"/>
      </w:tabs>
      <w:ind w:right="284"/>
    </w:pPr>
    <w:rPr>
      <w:noProof/>
      <w:color w:val="004C97" w:themeColor="accent1"/>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DF3369"/>
    <w:pPr>
      <w:tabs>
        <w:tab w:val="left" w:pos="1531"/>
        <w:tab w:val="right" w:leader="dot" w:pos="9639"/>
      </w:tabs>
      <w:spacing w:before="60"/>
      <w:ind w:left="737" w:right="284"/>
    </w:pPr>
    <w:rPr>
      <w:color w:val="004C97"/>
    </w:rPr>
  </w:style>
  <w:style w:type="paragraph" w:customStyle="1" w:styleId="CoverTitle">
    <w:name w:val="CoverTitle"/>
    <w:next w:val="CoverSubtitle"/>
    <w:uiPriority w:val="12"/>
    <w:qFormat/>
    <w:rsid w:val="006256B1"/>
    <w:pPr>
      <w:spacing w:after="300" w:line="216" w:lineRule="auto"/>
    </w:pPr>
    <w:rPr>
      <w:rFonts w:eastAsiaTheme="majorEastAsia" w:cstheme="majorBidi"/>
      <w:b/>
      <w:color w:val="004C97" w:themeColor="accent1"/>
      <w:spacing w:val="5"/>
      <w:kern w:val="28"/>
      <w:sz w:val="80"/>
      <w:szCs w:val="52"/>
    </w:rPr>
  </w:style>
  <w:style w:type="paragraph" w:customStyle="1" w:styleId="PartTitle">
    <w:name w:val="PartTitle"/>
    <w:next w:val="PartSubtitle"/>
    <w:uiPriority w:val="15"/>
    <w:qFormat/>
    <w:rsid w:val="00DF3369"/>
    <w:pPr>
      <w:keepNext/>
      <w:tabs>
        <w:tab w:val="left" w:pos="2552"/>
      </w:tabs>
      <w:ind w:left="2552" w:hanging="2552"/>
      <w:outlineLvl w:val="0"/>
    </w:pPr>
    <w:rPr>
      <w:rFonts w:eastAsia="Calibri"/>
      <w:b/>
      <w:color w:val="004C97" w:themeColor="accent1"/>
      <w:sz w:val="80"/>
    </w:rPr>
  </w:style>
  <w:style w:type="paragraph" w:customStyle="1" w:styleId="PartSubtitle">
    <w:name w:val="PartSubtitle"/>
    <w:basedOn w:val="PartTitle"/>
    <w:next w:val="BodyText"/>
    <w:uiPriority w:val="15"/>
    <w:qFormat/>
    <w:rsid w:val="006A5890"/>
    <w:pPr>
      <w:spacing w:before="360" w:after="240" w:line="340" w:lineRule="atLeast"/>
      <w:outlineLvl w:val="9"/>
    </w:pPr>
    <w:rPr>
      <w:b w:val="0"/>
      <w:caps/>
      <w:color w:val="535659" w:themeColor="text2"/>
      <w:spacing w:val="10"/>
      <w:sz w:val="30"/>
      <w:szCs w:val="32"/>
    </w:rPr>
  </w:style>
  <w:style w:type="paragraph" w:customStyle="1" w:styleId="ListofFiguresandTablesTOCHeading">
    <w:name w:val="List of Figures and Tables TOC Heading"/>
    <w:basedOn w:val="TOCHeading"/>
    <w:next w:val="Normal"/>
    <w:uiPriority w:val="14"/>
    <w:qFormat/>
    <w:rsid w:val="00D1044D"/>
  </w:style>
  <w:style w:type="paragraph" w:styleId="ListBullet3">
    <w:name w:val="List Bullet 3"/>
    <w:basedOn w:val="ListBullet2"/>
    <w:uiPriority w:val="2"/>
    <w:rsid w:val="00855D87"/>
    <w:pPr>
      <w:numPr>
        <w:numId w:val="16"/>
      </w:numPr>
      <w:tabs>
        <w:tab w:val="clear" w:pos="794"/>
        <w:tab w:val="left" w:pos="851"/>
      </w:tabs>
      <w:ind w:left="1078" w:hanging="284"/>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AB4F81"/>
    <w:pPr>
      <w:spacing w:before="60" w:after="60"/>
    </w:pPr>
    <w:rPr>
      <w:sz w:val="20"/>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F81642"/>
    <w:pPr>
      <w:spacing w:after="0" w:line="180" w:lineRule="atLeast"/>
    </w:pPr>
    <w:rPr>
      <w:b/>
      <w:caps/>
      <w:color w:val="FFFFFF"/>
      <w:spacing w:val="8"/>
      <w:sz w:val="18"/>
    </w:rPr>
  </w:style>
  <w:style w:type="paragraph" w:customStyle="1" w:styleId="CoverSubtitle">
    <w:name w:val="CoverSubtitle"/>
    <w:next w:val="BodyText"/>
    <w:uiPriority w:val="12"/>
    <w:qFormat/>
    <w:rsid w:val="006A5890"/>
    <w:pPr>
      <w:numPr>
        <w:ilvl w:val="1"/>
      </w:numPr>
      <w:spacing w:after="170"/>
    </w:pPr>
    <w:rPr>
      <w:rFonts w:eastAsiaTheme="majorEastAsia" w:cstheme="majorBidi"/>
      <w:caps/>
      <w:color w:val="004C97" w:themeColor="accent1"/>
      <w:spacing w:val="10"/>
      <w:sz w:val="30"/>
      <w:szCs w:val="32"/>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8E468E"/>
    <w:rPr>
      <w:b/>
      <w:color w:val="004C97" w:themeColor="accent1"/>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paragraph" w:styleId="Caption">
    <w:name w:val="caption"/>
    <w:basedOn w:val="BodyText"/>
    <w:next w:val="BodyText"/>
    <w:uiPriority w:val="4"/>
    <w:qFormat/>
    <w:rsid w:val="00D40133"/>
    <w:pPr>
      <w:keepNext/>
      <w:spacing w:before="180" w:after="180"/>
      <w:contextualSpacing/>
    </w:pPr>
    <w:rPr>
      <w:b/>
      <w:bCs/>
      <w:color w:val="004C97" w:themeColor="accent1"/>
      <w:sz w:val="20"/>
      <w:szCs w:val="18"/>
    </w:rPr>
  </w:style>
  <w:style w:type="character" w:customStyle="1" w:styleId="PartNumber">
    <w:name w:val="PartNumber"/>
    <w:basedOn w:val="DefaultParagraphFont"/>
    <w:uiPriority w:val="15"/>
    <w:qFormat/>
    <w:rsid w:val="00F01A1B"/>
    <w:rPr>
      <w:color w:val="535659" w:themeColor="text2"/>
    </w:rPr>
  </w:style>
  <w:style w:type="paragraph" w:customStyle="1" w:styleId="Heading1notnumbered">
    <w:name w:val="Heading 1 not numbered"/>
    <w:basedOn w:val="Heading1"/>
    <w:next w:val="BodyText"/>
    <w:uiPriority w:val="1"/>
    <w:rsid w:val="006D56CE"/>
    <w:pPr>
      <w:pageBreakBefore w:val="0"/>
      <w:numPr>
        <w:numId w:val="0"/>
      </w:numPr>
      <w:spacing w:before="400" w:after="200"/>
    </w:pPr>
    <w:rPr>
      <w:color w:val="004C97"/>
    </w:rPr>
  </w:style>
  <w:style w:type="paragraph" w:customStyle="1" w:styleId="Heading3notnumbered">
    <w:name w:val="Heading 3 not numbered"/>
    <w:basedOn w:val="Heading3"/>
    <w:next w:val="BodyText"/>
    <w:uiPriority w:val="1"/>
    <w:qFormat/>
    <w:rsid w:val="00E026AA"/>
    <w:pPr>
      <w:numPr>
        <w:ilvl w:val="0"/>
        <w:numId w:val="0"/>
      </w:numPr>
    </w:pPr>
    <w:rPr>
      <w:sz w:val="32"/>
    </w:rPr>
  </w:style>
  <w:style w:type="paragraph" w:customStyle="1" w:styleId="Heading2notnumbered">
    <w:name w:val="Heading 2 not numbered"/>
    <w:basedOn w:val="Heading2"/>
    <w:next w:val="BodyText"/>
    <w:uiPriority w:val="1"/>
    <w:qFormat/>
    <w:rsid w:val="00E026AA"/>
    <w:pPr>
      <w:numPr>
        <w:ilvl w:val="0"/>
        <w:numId w:val="0"/>
      </w:numPr>
    </w:pPr>
    <w:rPr>
      <w:b/>
      <w:sz w:val="36"/>
    </w:r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4C97" w:themeColor="accent1"/>
      <w:sz w:val="44"/>
      <w:szCs w:val="28"/>
    </w:rPr>
  </w:style>
  <w:style w:type="paragraph" w:styleId="BodyText">
    <w:name w:val="Body Text"/>
    <w:link w:val="BodyTextChar"/>
    <w:autoRedefine/>
    <w:qFormat/>
    <w:locked/>
    <w:rsid w:val="004B7FE1"/>
    <w:pPr>
      <w:spacing w:before="120" w:after="120" w:line="264" w:lineRule="auto"/>
    </w:pPr>
    <w:rPr>
      <w:rFonts w:eastAsia="Calibri"/>
      <w:color w:val="000000" w:themeColor="text1"/>
    </w:rPr>
  </w:style>
  <w:style w:type="character" w:customStyle="1" w:styleId="BodyTextChar">
    <w:name w:val="Body Text Char"/>
    <w:basedOn w:val="DefaultParagraphFont"/>
    <w:link w:val="BodyText"/>
    <w:locked/>
    <w:rsid w:val="004B7FE1"/>
    <w:rPr>
      <w:rFonts w:eastAsia="Calibri"/>
      <w:color w:val="000000" w:themeColor="text1"/>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855D87"/>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9C71A6"/>
    <w:pPr>
      <w:spacing w:before="180" w:after="60"/>
    </w:pPr>
    <w:rPr>
      <w:rFonts w:eastAsia="Times New Roman"/>
      <w:bCs/>
      <w:color w:val="004C97" w:themeColor="accent1"/>
      <w:sz w:val="24"/>
      <w:szCs w:val="26"/>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19"/>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4C97"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A66D3B"/>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855D87"/>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paragraph" w:customStyle="1" w:styleId="CaptionNote">
    <w:name w:val="Caption Note"/>
    <w:basedOn w:val="Caption"/>
    <w:next w:val="BodyText"/>
    <w:uiPriority w:val="4"/>
    <w:qFormat/>
    <w:rsid w:val="00DC106A"/>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paragraph" w:customStyle="1" w:styleId="Boxedheading">
    <w:name w:val="Boxed heading"/>
    <w:uiPriority w:val="19"/>
    <w:qFormat/>
    <w:rsid w:val="00BC39A5"/>
    <w:pPr>
      <w:pBdr>
        <w:top w:val="single" w:sz="4" w:space="10" w:color="004C97" w:themeColor="accent1"/>
        <w:left w:val="single" w:sz="4" w:space="10" w:color="004C97" w:themeColor="accent1"/>
        <w:bottom w:val="single" w:sz="4" w:space="10" w:color="004C97" w:themeColor="accent1"/>
        <w:right w:val="single" w:sz="4" w:space="10" w:color="004C97" w:themeColor="accent1"/>
      </w:pBdr>
      <w:spacing w:before="360" w:after="240"/>
      <w:ind w:left="227" w:right="227"/>
    </w:pPr>
    <w:rPr>
      <w:rFonts w:eastAsia="Calibri"/>
      <w:b/>
      <w:color w:val="004C97" w:themeColor="accent1"/>
      <w:sz w:val="28"/>
      <w:szCs w:val="28"/>
    </w:rPr>
  </w:style>
  <w:style w:type="paragraph" w:customStyle="1" w:styleId="Boxedtext">
    <w:name w:val="Boxed text"/>
    <w:uiPriority w:val="19"/>
    <w:qFormat/>
    <w:rsid w:val="00BC39A5"/>
    <w:pPr>
      <w:pBdr>
        <w:top w:val="single" w:sz="4" w:space="10" w:color="004C97" w:themeColor="accent1"/>
        <w:left w:val="single" w:sz="4" w:space="10" w:color="004C97" w:themeColor="accent1"/>
        <w:bottom w:val="single" w:sz="4" w:space="10" w:color="004C97" w:themeColor="accent1"/>
        <w:right w:val="single" w:sz="4" w:space="10" w:color="004C97" w:themeColor="accent1"/>
      </w:pBdr>
      <w:spacing w:before="180" w:after="180"/>
      <w:ind w:left="227" w:right="227"/>
    </w:pPr>
    <w:rPr>
      <w:rFonts w:eastAsia="Calibri"/>
      <w:color w:val="004C97" w:themeColor="accent1"/>
      <w:sz w:val="24"/>
      <w:szCs w:val="24"/>
    </w:rPr>
  </w:style>
  <w:style w:type="paragraph" w:styleId="NoSpacing">
    <w:name w:val="No Spacing"/>
    <w:link w:val="NoSpacingChar"/>
    <w:uiPriority w:val="1"/>
    <w:qFormat/>
    <w:rsid w:val="00AB6219"/>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AB6219"/>
    <w:rPr>
      <w:rFonts w:asciiTheme="minorHAnsi" w:eastAsiaTheme="minorEastAsia" w:hAnsiTheme="minorHAnsi" w:cstheme="minorBidi"/>
      <w:lang w:val="en-US" w:eastAsia="zh-CN"/>
    </w:rPr>
  </w:style>
  <w:style w:type="table" w:customStyle="1" w:styleId="SROTABLE">
    <w:name w:val="SRO TABLE"/>
    <w:uiPriority w:val="99"/>
    <w:rsid w:val="00F81642"/>
    <w:rPr>
      <w:sz w:val="20"/>
      <w:szCs w:val="20"/>
      <w:lang w:val="en-US" w:eastAsia="en-US" w:bidi="th-TH"/>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rPr>
        <w:color w:val="FFFFFF" w:themeColor="background1"/>
      </w:rPr>
      <w:tblPr/>
      <w:tcPr>
        <w:shd w:val="clear" w:color="auto" w:fill="535659" w:themeFill="text2"/>
      </w:tcPr>
    </w:tblStylePr>
    <w:tblStylePr w:type="band2Horz">
      <w:tblPr/>
      <w:tcPr>
        <w:tcBorders>
          <w:top w:val="nil"/>
          <w:left w:val="nil"/>
          <w:bottom w:val="nil"/>
          <w:right w:val="nil"/>
          <w:insideH w:val="nil"/>
          <w:insideV w:val="nil"/>
          <w:tl2br w:val="nil"/>
          <w:tr2bl w:val="nil"/>
        </w:tcBorders>
        <w:shd w:val="clear" w:color="auto" w:fill="EDEDED"/>
      </w:tcPr>
    </w:tblStylePr>
  </w:style>
  <w:style w:type="character" w:styleId="SubtleReference">
    <w:name w:val="Subtle Reference"/>
    <w:basedOn w:val="DefaultParagraphFont"/>
    <w:uiPriority w:val="31"/>
    <w:qFormat/>
    <w:rsid w:val="007A083B"/>
    <w:rPr>
      <w:rFonts w:asciiTheme="minorHAnsi" w:hAnsiTheme="minorHAnsi"/>
      <w:b w:val="0"/>
      <w:bCs w:val="0"/>
      <w:i w:val="0"/>
      <w:iCs w:val="0"/>
      <w:caps/>
      <w:smallCaps w:val="0"/>
      <w:color w:val="000000" w:themeColor="text1"/>
      <w:spacing w:val="6"/>
      <w:sz w:val="22"/>
      <w:szCs w:val="22"/>
      <w:u w:val="none"/>
    </w:rPr>
  </w:style>
  <w:style w:type="character" w:styleId="IntenseReference">
    <w:name w:val="Intense Reference"/>
    <w:basedOn w:val="BodyTextChar"/>
    <w:uiPriority w:val="32"/>
    <w:qFormat/>
    <w:rsid w:val="007A083B"/>
    <w:rPr>
      <w:rFonts w:ascii="Calibri" w:eastAsia="Calibri" w:hAnsi="Calibri"/>
      <w:b/>
      <w:bCs/>
      <w:caps/>
      <w:smallCaps w:val="0"/>
      <w:color w:val="000000" w:themeColor="text1"/>
      <w:spacing w:val="6"/>
      <w:sz w:val="22"/>
      <w:szCs w:val="22"/>
      <w:u w:val="none"/>
    </w:rPr>
  </w:style>
  <w:style w:type="table" w:styleId="LightList-Accent1">
    <w:name w:val="Light List Accent 1"/>
    <w:basedOn w:val="TableNormal"/>
    <w:uiPriority w:val="61"/>
    <w:rsid w:val="00840FE7"/>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rsid w:val="00840FE7"/>
    <w:tblPr>
      <w:tblStyleRowBandSize w:val="1"/>
      <w:tblStyleColBandSize w:val="1"/>
      <w:tblBorders>
        <w:top w:val="single" w:sz="8" w:space="0" w:color="535659" w:themeColor="accent2"/>
        <w:left w:val="single" w:sz="8" w:space="0" w:color="535659" w:themeColor="accent2"/>
        <w:bottom w:val="single" w:sz="8" w:space="0" w:color="535659" w:themeColor="accent2"/>
        <w:right w:val="single" w:sz="8" w:space="0" w:color="535659" w:themeColor="accent2"/>
      </w:tblBorders>
    </w:tblPr>
    <w:tblStylePr w:type="firstRow">
      <w:pPr>
        <w:spacing w:before="0" w:after="0" w:line="240" w:lineRule="auto"/>
      </w:pPr>
      <w:rPr>
        <w:b/>
        <w:bCs/>
        <w:color w:val="FFFFFF" w:themeColor="background1"/>
      </w:rPr>
      <w:tblPr/>
      <w:tcPr>
        <w:shd w:val="clear" w:color="auto" w:fill="535659" w:themeFill="accent2"/>
      </w:tcPr>
    </w:tblStylePr>
    <w:tblStylePr w:type="lastRow">
      <w:pPr>
        <w:spacing w:before="0" w:after="0" w:line="240" w:lineRule="auto"/>
      </w:pPr>
      <w:rPr>
        <w:b/>
        <w:bCs/>
      </w:rPr>
      <w:tblPr/>
      <w:tcPr>
        <w:tcBorders>
          <w:top w:val="double" w:sz="6" w:space="0" w:color="535659" w:themeColor="accent2"/>
          <w:left w:val="single" w:sz="8" w:space="0" w:color="535659" w:themeColor="accent2"/>
          <w:bottom w:val="single" w:sz="8" w:space="0" w:color="535659" w:themeColor="accent2"/>
          <w:right w:val="single" w:sz="8" w:space="0" w:color="535659" w:themeColor="accent2"/>
        </w:tcBorders>
      </w:tcPr>
    </w:tblStylePr>
    <w:tblStylePr w:type="firstCol">
      <w:rPr>
        <w:b/>
        <w:bCs/>
      </w:rPr>
    </w:tblStylePr>
    <w:tblStylePr w:type="lastCol">
      <w:rPr>
        <w:b/>
        <w:bCs/>
      </w:rPr>
    </w:tblStylePr>
    <w:tblStylePr w:type="band1Vert">
      <w:tblPr/>
      <w:tcPr>
        <w:tcBorders>
          <w:top w:val="single" w:sz="8" w:space="0" w:color="535659" w:themeColor="accent2"/>
          <w:left w:val="single" w:sz="8" w:space="0" w:color="535659" w:themeColor="accent2"/>
          <w:bottom w:val="single" w:sz="8" w:space="0" w:color="535659" w:themeColor="accent2"/>
          <w:right w:val="single" w:sz="8" w:space="0" w:color="535659" w:themeColor="accent2"/>
        </w:tcBorders>
      </w:tcPr>
    </w:tblStylePr>
    <w:tblStylePr w:type="band1Horz">
      <w:tblPr/>
      <w:tcPr>
        <w:tcBorders>
          <w:top w:val="single" w:sz="8" w:space="0" w:color="535659" w:themeColor="accent2"/>
          <w:left w:val="single" w:sz="8" w:space="0" w:color="535659" w:themeColor="accent2"/>
          <w:bottom w:val="single" w:sz="8" w:space="0" w:color="535659" w:themeColor="accent2"/>
          <w:right w:val="single" w:sz="8" w:space="0" w:color="535659" w:themeColor="accent2"/>
        </w:tcBorders>
      </w:tcPr>
    </w:tblStylePr>
  </w:style>
  <w:style w:type="table" w:styleId="LightShading">
    <w:name w:val="Light Shading"/>
    <w:basedOn w:val="TableNormal"/>
    <w:uiPriority w:val="60"/>
    <w:rsid w:val="00840F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40FE7"/>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List">
    <w:name w:val="Light List"/>
    <w:basedOn w:val="TableNormal"/>
    <w:uiPriority w:val="61"/>
    <w:rsid w:val="00840F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aliases w:val="Header Disclaimer"/>
    <w:basedOn w:val="Normal"/>
    <w:next w:val="BodyText"/>
    <w:link w:val="HeaderChar"/>
    <w:uiPriority w:val="99"/>
    <w:unhideWhenUsed/>
    <w:qFormat/>
    <w:locked/>
    <w:rsid w:val="00F81642"/>
    <w:pPr>
      <w:tabs>
        <w:tab w:val="center" w:pos="4320"/>
        <w:tab w:val="right" w:pos="8640"/>
      </w:tabs>
      <w:spacing w:after="0"/>
    </w:pPr>
    <w:rPr>
      <w:b/>
      <w:caps/>
      <w:color w:val="004C97" w:themeColor="accent1"/>
      <w:spacing w:val="8"/>
      <w:sz w:val="17"/>
    </w:rPr>
  </w:style>
  <w:style w:type="character" w:customStyle="1" w:styleId="HeaderChar">
    <w:name w:val="Header Char"/>
    <w:aliases w:val="Header Disclaimer Char"/>
    <w:basedOn w:val="DefaultParagraphFont"/>
    <w:link w:val="Header"/>
    <w:uiPriority w:val="99"/>
    <w:rsid w:val="00F81642"/>
    <w:rPr>
      <w:rFonts w:eastAsia="Calibri"/>
      <w:b/>
      <w:caps/>
      <w:color w:val="004C97" w:themeColor="accent1"/>
      <w:spacing w:val="8"/>
      <w:sz w:val="17"/>
    </w:rPr>
  </w:style>
  <w:style w:type="paragraph" w:customStyle="1" w:styleId="LETTERADDRESS">
    <w:name w:val="LETTER | ADDRESS"/>
    <w:basedOn w:val="Normal"/>
    <w:autoRedefine/>
    <w:qFormat/>
    <w:rsid w:val="00AB22DE"/>
    <w:pPr>
      <w:framePr w:wrap="around" w:vAnchor="page" w:hAnchor="page" w:x="852" w:y="852"/>
      <w:spacing w:after="0" w:line="180" w:lineRule="auto"/>
      <w:ind w:left="567"/>
      <w:contextualSpacing/>
      <w:suppressOverlap/>
    </w:pPr>
    <w:rPr>
      <w:rFonts w:asciiTheme="minorHAnsi" w:eastAsia="Times New Roman" w:hAnsiTheme="minorHAnsi"/>
      <w:caps/>
      <w:noProof/>
      <w:szCs w:val="20"/>
      <w:lang w:val="en-US" w:eastAsia="en-US"/>
    </w:rPr>
  </w:style>
  <w:style w:type="paragraph" w:customStyle="1" w:styleId="LETTERDate">
    <w:name w:val="LETTER | Date"/>
    <w:basedOn w:val="Normal"/>
    <w:autoRedefine/>
    <w:qFormat/>
    <w:rsid w:val="00AB22DE"/>
    <w:pPr>
      <w:framePr w:wrap="around" w:vAnchor="page" w:hAnchor="page" w:x="852" w:y="852"/>
      <w:tabs>
        <w:tab w:val="left" w:pos="284"/>
      </w:tabs>
      <w:spacing w:after="500"/>
      <w:suppressOverlap/>
    </w:pPr>
    <w:rPr>
      <w:rFonts w:asciiTheme="minorHAnsi" w:eastAsia="Times New Roman" w:hAnsiTheme="minorHAnsi"/>
      <w:snapToGrid w:val="0"/>
      <w:lang w:eastAsia="en-US"/>
    </w:rPr>
  </w:style>
  <w:style w:type="paragraph" w:customStyle="1" w:styleId="REF">
    <w:name w:val="REF #"/>
    <w:basedOn w:val="Normal"/>
    <w:qFormat/>
    <w:rsid w:val="00AB22DE"/>
    <w:pPr>
      <w:tabs>
        <w:tab w:val="left" w:pos="284"/>
      </w:tabs>
      <w:spacing w:after="0"/>
    </w:pPr>
    <w:rPr>
      <w:rFonts w:asciiTheme="minorHAnsi" w:eastAsia="Times New Roman" w:hAnsiTheme="minorHAnsi"/>
      <w:snapToGrid w:val="0"/>
      <w:sz w:val="18"/>
      <w:lang w:eastAsia="en-US"/>
    </w:rPr>
  </w:style>
  <w:style w:type="paragraph" w:styleId="BalloonText">
    <w:name w:val="Balloon Text"/>
    <w:basedOn w:val="Normal"/>
    <w:link w:val="BalloonTextChar"/>
    <w:uiPriority w:val="99"/>
    <w:semiHidden/>
    <w:unhideWhenUsed/>
    <w:locked/>
    <w:rsid w:val="00CC3D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D7D"/>
    <w:rPr>
      <w:rFonts w:ascii="Lucida Grande" w:eastAsia="Calibri" w:hAnsi="Lucida Grande" w:cs="Lucida Grande"/>
      <w:color w:val="000000"/>
      <w:sz w:val="18"/>
      <w:szCs w:val="18"/>
    </w:rPr>
  </w:style>
  <w:style w:type="paragraph" w:styleId="DocumentMap">
    <w:name w:val="Document Map"/>
    <w:basedOn w:val="Normal"/>
    <w:link w:val="DocumentMapChar"/>
    <w:uiPriority w:val="99"/>
    <w:semiHidden/>
    <w:unhideWhenUsed/>
    <w:locked/>
    <w:rsid w:val="00135E5C"/>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35E5C"/>
    <w:rPr>
      <w:rFonts w:ascii="Lucida Grande" w:eastAsia="Calibri" w:hAnsi="Lucida Grande" w:cs="Lucida Grande"/>
      <w:color w:val="000000"/>
      <w:sz w:val="24"/>
      <w:szCs w:val="24"/>
    </w:rPr>
  </w:style>
  <w:style w:type="paragraph" w:customStyle="1" w:styleId="H2VPSC">
    <w:name w:val="H2 VPSC"/>
    <w:next w:val="Normal"/>
    <w:qFormat/>
    <w:rsid w:val="000611DE"/>
    <w:pPr>
      <w:widowControl w:val="0"/>
      <w:spacing w:before="200" w:after="100"/>
    </w:pPr>
    <w:rPr>
      <w:rFonts w:ascii="Arial" w:eastAsia="Times New Roman" w:hAnsi="Arial" w:cs="Tahoma"/>
      <w:b/>
      <w:color w:val="004C97" w:themeColor="accent1"/>
      <w:sz w:val="24"/>
      <w:szCs w:val="20"/>
    </w:rPr>
  </w:style>
  <w:style w:type="paragraph" w:customStyle="1" w:styleId="Bullet1VPSC">
    <w:name w:val="Bullet 1 VPSC"/>
    <w:qFormat/>
    <w:rsid w:val="000611DE"/>
    <w:pPr>
      <w:numPr>
        <w:numId w:val="20"/>
      </w:numPr>
      <w:spacing w:after="100" w:line="276" w:lineRule="auto"/>
      <w:ind w:left="714" w:hanging="357"/>
    </w:pPr>
    <w:rPr>
      <w:rFonts w:ascii="Arial" w:eastAsia="Calibri" w:hAnsi="Arial" w:cs="Tahoma"/>
      <w:sz w:val="20"/>
      <w:szCs w:val="20"/>
      <w:lang w:eastAsia="en-US"/>
    </w:rPr>
  </w:style>
  <w:style w:type="paragraph" w:customStyle="1" w:styleId="H1VPSC">
    <w:name w:val="H1 VPSC"/>
    <w:next w:val="Normal"/>
    <w:qFormat/>
    <w:rsid w:val="000611DE"/>
    <w:pPr>
      <w:spacing w:before="200" w:after="100"/>
    </w:pPr>
    <w:rPr>
      <w:rFonts w:ascii="Arial" w:eastAsia="Times New Roman" w:hAnsi="Arial" w:cs="Tahoma"/>
      <w:b/>
      <w:color w:val="004C97" w:themeColor="accent1"/>
      <w:sz w:val="28"/>
      <w:szCs w:val="28"/>
    </w:rPr>
  </w:style>
  <w:style w:type="paragraph" w:styleId="Revision">
    <w:name w:val="Revision"/>
    <w:hidden/>
    <w:uiPriority w:val="99"/>
    <w:semiHidden/>
    <w:rsid w:val="00A90771"/>
    <w:rPr>
      <w:rFonts w:eastAsia="Calibri"/>
      <w:color w:val="000000"/>
    </w:rPr>
  </w:style>
  <w:style w:type="character" w:styleId="UnresolvedMention">
    <w:name w:val="Unresolved Mention"/>
    <w:basedOn w:val="DefaultParagraphFont"/>
    <w:uiPriority w:val="99"/>
    <w:semiHidden/>
    <w:unhideWhenUsed/>
    <w:rsid w:val="00A4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ntent.legislation.vic.gov.au/sites/default/files/2024-03/04-107aa044-authorised.pdf" TargetMode="External"/><Relationship Id="rId26" Type="http://schemas.openxmlformats.org/officeDocument/2006/relationships/hyperlink" Target="https://vpsc.vic.gov.au/about-vpsc/updates-from-the-commissioner/gifts-benefits-and-hospitality/" TargetMode="External"/><Relationship Id="rId3" Type="http://schemas.openxmlformats.org/officeDocument/2006/relationships/customXml" Target="../customXml/item3.xml"/><Relationship Id="rId21" Type="http://schemas.openxmlformats.org/officeDocument/2006/relationships/hyperlink" Target="https://www.legislation.vic.gov.au/search?q=Public+Administration+Act+2004&amp;queryType=title_content&amp;page=1&amp;sort%5B_score%5D=desc&amp;sort%5Btitle_az%5D=asc"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rointranet.sro.vic.gov.au/SROPolicies.nsf/1442111406473c76ca257157000a255e/1664b7bd5d2a2d78ca25775a0025ed9f/$FILE/HR018%20Gifts%20Benefits%20and%20Hospitality%20Declaration%20Form.tr5" TargetMode="External"/><Relationship Id="rId25" Type="http://schemas.openxmlformats.org/officeDocument/2006/relationships/hyperlink" Target="https://vpsc.vic.gov.au/wp-content/pdf-download.php?postID=114931https://vpsc.vic.gov.au/wp-content/pdf-download.php?postID=11493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ntent.legislation.vic.gov.au/sites/default/files/2024-06/04-108aa087-authorised.pdf" TargetMode="External"/><Relationship Id="rId29" Type="http://schemas.openxmlformats.org/officeDocument/2006/relationships/hyperlink" Target="https://srointranet.sro.vic.gov.au/SROPolicies.nsf/results/1664B7BD5D2A2D78CA25775A0025ED9F?Ope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sc.vic.gov.au/ethics-behaviours-culture/gifts-benefits-hospitality/gifts-benefits-and-hospitality-policy-gui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rointranet.sro.vic.gov.au/SROPolicies.nsf/results/F40E9B28C891E9F7CA256DDC0014C9DD?OpenDocument" TargetMode="External"/><Relationship Id="rId28" Type="http://schemas.openxmlformats.org/officeDocument/2006/relationships/hyperlink" Target="https://srointranet.sro.vic.gov.au/SROPolicies.nsf/1442111406473c76ca257157000a255e/1664b7bd5d2a2d78ca25775a0025ed9f/$FILE/HR018%20Gifts%20Benefits%20and%20Hospitality%20Declaration%20Form.tr5" TargetMode="External"/><Relationship Id="rId10" Type="http://schemas.openxmlformats.org/officeDocument/2006/relationships/endnotes" Target="endnotes.xml"/><Relationship Id="rId19" Type="http://schemas.openxmlformats.org/officeDocument/2006/relationships/hyperlink" Target="https://content.legislation.vic.gov.au/sites/default/files/2024-06/98-94aa110-authorised.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sc.vic.gov.au/ethics-behaviours-culture/codes-of-conduct/code-of-conduct-for-victorian-public-sector-employees/" TargetMode="External"/><Relationship Id="rId27" Type="http://schemas.openxmlformats.org/officeDocument/2006/relationships/hyperlink" Target="https://vpsc.vic.gov.au/?s=VPSC+Circular+Gifts+Benefits+and+Hospitality+28+June+2018" TargetMode="Externa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2294BD\SRO%20Policy-Procedure-Guideline%20Template_MAR20.dotx" TargetMode="External"/></Relationships>
</file>

<file path=word/theme/theme1.xml><?xml version="1.0" encoding="utf-8"?>
<a:theme xmlns:a="http://schemas.openxmlformats.org/drawingml/2006/main" name="SRO 2019">
  <a:themeElements>
    <a:clrScheme name="SRO 2019">
      <a:dk1>
        <a:srgbClr val="000000"/>
      </a:dk1>
      <a:lt1>
        <a:srgbClr val="FFFFFF"/>
      </a:lt1>
      <a:dk2>
        <a:srgbClr val="535659"/>
      </a:dk2>
      <a:lt2>
        <a:srgbClr val="D9D9D6"/>
      </a:lt2>
      <a:accent1>
        <a:srgbClr val="004C97"/>
      </a:accent1>
      <a:accent2>
        <a:srgbClr val="535659"/>
      </a:accent2>
      <a:accent3>
        <a:srgbClr val="F6BE00"/>
      </a:accent3>
      <a:accent4>
        <a:srgbClr val="642667"/>
      </a:accent4>
      <a:accent5>
        <a:srgbClr val="009CA6"/>
      </a:accent5>
      <a:accent6>
        <a:srgbClr val="E35105"/>
      </a:accent6>
      <a:hlink>
        <a:srgbClr val="004C97"/>
      </a:hlink>
      <a:folHlink>
        <a:srgbClr val="004C97"/>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OC-16-287593_SRO PowerPoint Presentation Template_OCT16" id="{7B8DD95D-70F6-1443-BA39-904B767A1AA8}" vid="{A97E1002-5BBA-DA41-B799-61D0EC8583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08446-45f2-44b8-9de0-963c4895d0d7">
      <Terms xmlns="http://schemas.microsoft.com/office/infopath/2007/PartnerControls"/>
    </lcf76f155ced4ddcb4097134ff3c332f>
    <TaxCatchAll xmlns="4410d81c-e245-46fb-a555-8dd6f32286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1A26F3FDDAE4EA5D767EEC94A6CED" ma:contentTypeVersion="13" ma:contentTypeDescription="Create a new document." ma:contentTypeScope="" ma:versionID="edf19e6a9f391eb08ac4a538e94f484a">
  <xsd:schema xmlns:xsd="http://www.w3.org/2001/XMLSchema" xmlns:xs="http://www.w3.org/2001/XMLSchema" xmlns:p="http://schemas.microsoft.com/office/2006/metadata/properties" xmlns:ns2="26608446-45f2-44b8-9de0-963c4895d0d7" xmlns:ns3="4410d81c-e245-46fb-a555-8dd6f32286f9" targetNamespace="http://schemas.microsoft.com/office/2006/metadata/properties" ma:root="true" ma:fieldsID="5d8559c4db7d3639ef955638a1d5da83" ns2:_="" ns3:_="">
    <xsd:import namespace="26608446-45f2-44b8-9de0-963c4895d0d7"/>
    <xsd:import namespace="4410d81c-e245-46fb-a555-8dd6f32286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08446-45f2-44b8-9de0-963c4895d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58e8b-94e2-4eb9-882a-772e80fac8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0d81c-e245-46fb-a555-8dd6f3228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1c03f6-c09c-41b7-a303-03efcf595dc9}" ma:internalName="TaxCatchAll" ma:showField="CatchAllData" ma:web="4410d81c-e245-46fb-a555-8dd6f3228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575DD-CE72-4424-BCAE-CF28155A02CD}">
  <ds:schemaRefs>
    <ds:schemaRef ds:uri="http://schemas.openxmlformats.org/officeDocument/2006/bibliography"/>
  </ds:schemaRefs>
</ds:datastoreItem>
</file>

<file path=customXml/itemProps2.xml><?xml version="1.0" encoding="utf-8"?>
<ds:datastoreItem xmlns:ds="http://schemas.openxmlformats.org/officeDocument/2006/customXml" ds:itemID="{5151E969-7503-4FC4-A3AE-85DED756FCF9}">
  <ds:schemaRefs>
    <ds:schemaRef ds:uri="http://schemas.microsoft.com/office/2006/metadata/properties"/>
    <ds:schemaRef ds:uri="http://schemas.microsoft.com/office/infopath/2007/PartnerControls"/>
    <ds:schemaRef ds:uri="26608446-45f2-44b8-9de0-963c4895d0d7"/>
    <ds:schemaRef ds:uri="4410d81c-e245-46fb-a555-8dd6f32286f9"/>
  </ds:schemaRefs>
</ds:datastoreItem>
</file>

<file path=customXml/itemProps3.xml><?xml version="1.0" encoding="utf-8"?>
<ds:datastoreItem xmlns:ds="http://schemas.openxmlformats.org/officeDocument/2006/customXml" ds:itemID="{9E809010-E21D-4FCE-B3FE-5ADE32A4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08446-45f2-44b8-9de0-963c4895d0d7"/>
    <ds:schemaRef ds:uri="4410d81c-e245-46fb-a555-8dd6f322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D5D7C-1D8E-4387-A4BB-8CECF62CF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SRO Policy-Procedure-Guideline Template_MAR20.dotx</Template>
  <TotalTime>0</TotalTime>
  <Pages>15</Pages>
  <Words>5470</Words>
  <Characters>30295</Characters>
  <Application>Microsoft Office Word</Application>
  <DocSecurity>4</DocSecurity>
  <Lines>561</Lines>
  <Paragraphs>332</Paragraphs>
  <ScaleCrop>false</ScaleCrop>
  <HeadingPairs>
    <vt:vector size="2" baseType="variant">
      <vt:variant>
        <vt:lpstr>Title</vt:lpstr>
      </vt:variant>
      <vt:variant>
        <vt:i4>1</vt:i4>
      </vt:variant>
    </vt:vector>
  </HeadingPairs>
  <TitlesOfParts>
    <vt:vector size="1" baseType="lpstr">
      <vt:lpstr>SRO Report Template</vt:lpstr>
    </vt:vector>
  </TitlesOfParts>
  <Company>SRO</Company>
  <LinksUpToDate>false</LinksUpToDate>
  <CharactersWithSpaces>35590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SRO Report Template</dc:title>
  <dc:creator>Kylie Rice</dc:creator>
  <cp:lastModifiedBy>Jemma Newcombe</cp:lastModifiedBy>
  <cp:revision>2</cp:revision>
  <cp:lastPrinted>2016-10-12T08:00:00Z</cp:lastPrinted>
  <dcterms:created xsi:type="dcterms:W3CDTF">2026-06-11T00:43:00Z</dcterms:created>
  <dcterms:modified xsi:type="dcterms:W3CDTF">2026-06-11T00:43:00Z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0x0101008811A26F3FDDAE4EA5D767EEC94A6CED</vt:lpwstr>
  </property>
  <property fmtid="{D5CDD505-2E9C-101B-9397-08002B2CF9AE}" pid="5" name="MSIP_Label_686d1dab-2aa9-41cc-b2a2-bc7c8e592b50_Enabled">
    <vt:lpwstr>true</vt:lpwstr>
  </property>
  <property fmtid="{D5CDD505-2E9C-101B-9397-08002B2CF9AE}" pid="6" name="MSIP_Label_686d1dab-2aa9-41cc-b2a2-bc7c8e592b50_SetDate">
    <vt:lpwstr>2024-01-18T02:33:31Z</vt:lpwstr>
  </property>
  <property fmtid="{D5CDD505-2E9C-101B-9397-08002B2CF9AE}" pid="7" name="MSIP_Label_686d1dab-2aa9-41cc-b2a2-bc7c8e592b50_Method">
    <vt:lpwstr>Privileged</vt:lpwstr>
  </property>
  <property fmtid="{D5CDD505-2E9C-101B-9397-08002B2CF9AE}" pid="8" name="MSIP_Label_686d1dab-2aa9-41cc-b2a2-bc7c8e592b50_Name">
    <vt:lpwstr>OFFICIAL</vt:lpwstr>
  </property>
  <property fmtid="{D5CDD505-2E9C-101B-9397-08002B2CF9AE}" pid="9" name="MSIP_Label_686d1dab-2aa9-41cc-b2a2-bc7c8e592b50_SiteId">
    <vt:lpwstr>887ff94a-aac4-4bbf-85fa-711acf090905</vt:lpwstr>
  </property>
  <property fmtid="{D5CDD505-2E9C-101B-9397-08002B2CF9AE}" pid="10" name="MSIP_Label_686d1dab-2aa9-41cc-b2a2-bc7c8e592b50_ActionId">
    <vt:lpwstr>d0688e62-7ad8-4d7e-b6da-8ded6240933c</vt:lpwstr>
  </property>
  <property fmtid="{D5CDD505-2E9C-101B-9397-08002B2CF9AE}" pid="11" name="MSIP_Label_686d1dab-2aa9-41cc-b2a2-bc7c8e592b50_ContentBits">
    <vt:lpwstr>0</vt:lpwstr>
  </property>
  <property fmtid="{D5CDD505-2E9C-101B-9397-08002B2CF9AE}" pid="12" name="MediaServiceImageTags">
    <vt:lpwstr/>
  </property>
</Properties>
</file>